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glossary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46"/>
        <w:gridCol w:w="2607"/>
      </w:tblGrid>
      <w:tr w14:paraId="38B5AB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3677" w:type="pct"/>
          </w:tcPr>
          <w:p w14:paraId="78B7F16E">
            <w:pPr>
              <w:pStyle w:val="54"/>
              <w:rPr>
                <w:lang w:val="en-US"/>
              </w:rPr>
            </w:pPr>
          </w:p>
        </w:tc>
        <w:tc>
          <w:tcPr>
            <w:tcW w:w="1322" w:type="pct"/>
          </w:tcPr>
          <w:p w14:paraId="43B6039E"/>
        </w:tc>
      </w:tr>
      <w:tr w14:paraId="68AFBE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3677" w:type="pct"/>
          </w:tcPr>
          <w:p w14:paraId="2C8404D0">
            <w:pPr>
              <w:pStyle w:val="54"/>
            </w:pPr>
            <w:r>
              <w:t>Утвержден</w:t>
            </w:r>
          </w:p>
        </w:tc>
        <w:tc>
          <w:tcPr>
            <w:tcW w:w="1322" w:type="pct"/>
          </w:tcPr>
          <w:p w14:paraId="5FB9744E"/>
        </w:tc>
      </w:tr>
      <w:tr w14:paraId="211137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C3FA7B3">
            <w:pPr>
              <w:pStyle w:val="42"/>
            </w:pPr>
          </w:p>
        </w:tc>
      </w:tr>
      <w:tr w14:paraId="32F3FD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C9388CD">
            <w:pPr>
              <w:pStyle w:val="42"/>
            </w:pPr>
          </w:p>
        </w:tc>
      </w:tr>
      <w:tr w14:paraId="390E73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5540FBF3">
            <w:pPr>
              <w:pStyle w:val="42"/>
            </w:pPr>
          </w:p>
        </w:tc>
      </w:tr>
      <w:tr w14:paraId="4A78FA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A7736A9">
            <w:pPr>
              <w:pStyle w:val="42"/>
            </w:pPr>
          </w:p>
        </w:tc>
      </w:tr>
      <w:tr w14:paraId="76973F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3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1E351C9C">
            <w:pPr>
              <w:pStyle w:val="58"/>
            </w:pPr>
            <w:r>
              <w:t>Государственная информационная система</w:t>
            </w:r>
            <w:r>
              <w:br w:type="textWrapping"/>
            </w:r>
            <w:r>
              <w:t>обязательного медицинского страхования</w:t>
            </w:r>
            <w:r>
              <w:br w:type="textWrapping"/>
            </w:r>
            <w:r>
              <w:t>ГИС ОМС</w:t>
            </w:r>
          </w:p>
        </w:tc>
      </w:tr>
      <w:tr w14:paraId="0FEBE7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3766420">
            <w:pPr>
              <w:pStyle w:val="58"/>
            </w:pPr>
            <w:r>
              <w:t>Федеральная подсистема персонифицированного учета</w:t>
            </w:r>
            <w:r>
              <w:br w:type="textWrapping"/>
            </w:r>
            <w:r>
              <w:t>медицинской помощи ГИС ОМС</w:t>
            </w:r>
          </w:p>
        </w:tc>
      </w:tr>
      <w:tr w14:paraId="41812C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8167B32">
            <w:pPr>
              <w:pStyle w:val="42"/>
            </w:pPr>
          </w:p>
        </w:tc>
      </w:tr>
      <w:tr w14:paraId="5FAE42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139F41DC">
            <w:pPr>
              <w:pStyle w:val="42"/>
              <w:rPr>
                <w:rFonts w:asciiTheme="minorHAnsi" w:hAnsiTheme="minorHAnsi"/>
              </w:rPr>
            </w:pPr>
            <w:r>
              <w:t>Руководство пользователя</w:t>
            </w:r>
          </w:p>
        </w:tc>
      </w:tr>
      <w:tr w14:paraId="09C46F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B3C0CD1">
            <w:pPr>
              <w:pStyle w:val="42"/>
            </w:pPr>
            <w:r>
              <w:t>часть 2</w:t>
            </w:r>
          </w:p>
        </w:tc>
      </w:tr>
      <w:tr w14:paraId="277CD5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4FF5E5C7">
            <w:pPr>
              <w:pStyle w:val="42"/>
            </w:pPr>
            <w:r>
              <w:t>АРМ сотрудника МО</w:t>
            </w:r>
          </w:p>
        </w:tc>
      </w:tr>
      <w:tr w14:paraId="40E738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25CCE7D9">
            <w:pPr>
              <w:pStyle w:val="42"/>
            </w:pPr>
            <w:bookmarkStart w:id="0" w:name="_Hlk148527763"/>
            <w:sdt>
              <w:sdtPr>
                <w:alias w:val="Примечания"/>
                <w:id w:val="-1514222534"/>
                <w:placeholder>
                  <w:docPart w:val="5F495F4292C94B66991C8313DDB78C86"/>
                </w:placeholder>
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<w:text w:multiLine="1"/>
              </w:sdtPr>
              <w:sdtContent>
                <w:r>
                  <w:t>1027700198767.425000.ФПУМП.2026.И3-2-М</w:t>
                </w:r>
              </w:sdtContent>
            </w:sdt>
          </w:p>
        </w:tc>
      </w:tr>
      <w:tr w14:paraId="3056D4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194B0FE">
            <w:pPr>
              <w:pStyle w:val="42"/>
            </w:pPr>
          </w:p>
        </w:tc>
      </w:tr>
      <w:bookmarkEnd w:id="0"/>
      <w:tr w14:paraId="020F00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01645B4B">
            <w:pPr>
              <w:pStyle w:val="42"/>
            </w:pPr>
            <w:r>
              <w:t xml:space="preserve">Листов: </w:t>
            </w:r>
            <w:r>
              <w:fldChar w:fldCharType="begin"/>
            </w:r>
            <w:r>
              <w:instrText xml:space="preserve"> NUMPAGES   \* MERGEFORMAT </w:instrText>
            </w:r>
            <w:r>
              <w:fldChar w:fldCharType="separate"/>
            </w:r>
            <w:r>
              <w:t>197</w:t>
            </w:r>
            <w:r>
              <w:fldChar w:fldCharType="end"/>
            </w:r>
          </w:p>
        </w:tc>
      </w:tr>
      <w:tr w14:paraId="4EE7AE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148F0CB8">
            <w:pPr>
              <w:pStyle w:val="42"/>
            </w:pPr>
            <w:sdt>
              <w:sdtPr>
                <w:alias w:val="Аннотация"/>
                <w:id w:val="-1364281895"/>
                <w:placeholder>
                  <w:docPart w:val="AF468381773A4D96AF0DCD3198D796CE"/>
                </w:placeholder>
                <w:dataBinding w:prefixMappings="xmlns:ns0='http://schemas.microsoft.com/office/2006/coverPageProps' " w:xpath="/ns0:CoverPageProperties[1]/ns0:Abstract[1]" w:storeItemID="{55AF091B-3C7A-41E3-B477-F2FDAA23CFDA}"/>
                <w:text/>
              </w:sdtPr>
              <w:sdtContent>
                <w:r>
                  <w:t>версия 4.01</w:t>
                </w:r>
              </w:sdtContent>
            </w:sdt>
          </w:p>
        </w:tc>
      </w:tr>
      <w:tr w14:paraId="5A841B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763ABD30">
            <w:pPr>
              <w:pStyle w:val="42"/>
              <w:rPr>
                <w:lang w:val="en-US"/>
              </w:rPr>
            </w:pPr>
            <w:r>
              <w:t>Государственный контракт</w:t>
            </w:r>
          </w:p>
          <w:p w14:paraId="2923B92F">
            <w:pPr>
              <w:pStyle w:val="42"/>
            </w:pPr>
            <w:r>
              <w:t>от 26.01.2026 № 02731000011250001290001</w:t>
            </w:r>
          </w:p>
        </w:tc>
      </w:tr>
      <w:tr w14:paraId="1EE93B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2308AD33">
            <w:pPr>
              <w:pStyle w:val="42"/>
            </w:pPr>
            <w:r>
              <w:t>(этап 5)</w:t>
            </w:r>
          </w:p>
        </w:tc>
      </w:tr>
      <w:tr w14:paraId="141754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617657E8">
            <w:pPr>
              <w:pStyle w:val="42"/>
            </w:pPr>
          </w:p>
        </w:tc>
      </w:tr>
      <w:tr w14:paraId="67F16F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1A19B996">
            <w:pPr>
              <w:pStyle w:val="42"/>
            </w:pPr>
          </w:p>
        </w:tc>
      </w:tr>
      <w:tr w14:paraId="200F3C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40588C68">
            <w:pPr>
              <w:pStyle w:val="42"/>
            </w:pPr>
          </w:p>
        </w:tc>
      </w:tr>
      <w:tr w14:paraId="341405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693868A9">
            <w:pPr>
              <w:pStyle w:val="42"/>
            </w:pPr>
            <w:r>
              <w:t>2026</w:t>
            </w:r>
          </w:p>
        </w:tc>
      </w:tr>
    </w:tbl>
    <w:p w14:paraId="3A283B04">
      <w:pPr>
        <w:pStyle w:val="44"/>
      </w:pPr>
    </w:p>
    <w:p w14:paraId="346CDE9F">
      <w:pPr>
        <w:pStyle w:val="59"/>
        <w:sectPr>
          <w:headerReference r:id="rId6" w:type="first"/>
          <w:footerReference r:id="rId8" w:type="first"/>
          <w:headerReference r:id="rId5" w:type="default"/>
          <w:footerReference r:id="rId7" w:type="default"/>
          <w:footnotePr>
            <w:numRestart w:val="eachPage"/>
          </w:footnotePr>
          <w:pgSz w:w="11906" w:h="16838"/>
          <w:pgMar w:top="1134" w:right="851" w:bottom="1134" w:left="1418" w:header="567" w:footer="567" w:gutter="0"/>
          <w:cols w:space="708" w:num="1"/>
          <w:titlePg/>
          <w:docGrid w:linePitch="360" w:charSpace="0"/>
        </w:sectPr>
      </w:pPr>
    </w:p>
    <w:p w14:paraId="6CBDA789">
      <w:pPr>
        <w:pStyle w:val="44"/>
      </w:pPr>
      <w:bookmarkStart w:id="1" w:name="_Hlk155954992"/>
      <w:r>
        <w:t>Настоящий документ представляет собой руководство пользователя Федеральной подсистемой персонифицированного учета медицинской помощи ГИС ОМС (далее — ФПУМП, Подсистема) для медицинских организаций, осуществляющих свою деятельность в</w:t>
      </w:r>
      <w:r>
        <w:rPr>
          <w:lang w:val="en-US"/>
        </w:rPr>
        <w:t> </w:t>
      </w:r>
      <w:r>
        <w:t>сфере обязательного медицинского страхования Российской Федерации.</w:t>
      </w:r>
    </w:p>
    <w:p w14:paraId="42D129C1">
      <w:pPr>
        <w:pStyle w:val="44"/>
      </w:pPr>
      <w:r>
        <w:t>В руководстве приведено описание назначения, условий применения и основных функциональных возможностей ФПУМП, основных элементов интерфейса ФПУМП и операций, выполняемых работником медицинской организации с использованием графического интерфейса пользователя.</w:t>
      </w:r>
    </w:p>
    <w:p w14:paraId="4EE45BE3">
      <w:pPr>
        <w:pStyle w:val="44"/>
      </w:pPr>
      <w:r>
        <w:t>Действия пользователей, необходимые для выполнения основных задач и функциональных обязанностей в рамках персонифицированного учета медицинской помощи, регламентируются нормативно-правовыми актами в сфере обязательного медицинского страхования РФ и внутренними распорядительными документами организации.</w:t>
      </w:r>
      <w:bookmarkEnd w:id="1"/>
      <w:bookmarkStart w:id="1179" w:name="_GoBack"/>
      <w:bookmarkEnd w:id="1179"/>
    </w:p>
    <w:p w14:paraId="7FEC2A0A">
      <w:pPr>
        <w:pStyle w:val="43"/>
      </w:pPr>
      <w:r>
        <w:t>Содержание</w:t>
      </w:r>
    </w:p>
    <w:p w14:paraId="541FAC3C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TOC \o "1-3" \h \z \t "Заголовок 4;4;_РТК_Приложение_А;4;_РТК_Приложение_А.1.1.1;4" </w:instrText>
      </w:r>
      <w:r>
        <w:fldChar w:fldCharType="separate"/>
      </w:r>
      <w:r>
        <w:fldChar w:fldCharType="begin"/>
      </w:r>
      <w:r>
        <w:instrText xml:space="preserve"> HYPERLINK \l "_Toc225871478" </w:instrText>
      </w:r>
      <w:r>
        <w:fldChar w:fldCharType="separate"/>
      </w:r>
      <w:r>
        <w:rPr>
          <w:rStyle w:val="17"/>
        </w:rPr>
        <w:t>Термины и сокращения</w:t>
      </w:r>
      <w:r>
        <w:tab/>
      </w:r>
      <w:r>
        <w:fldChar w:fldCharType="begin"/>
      </w:r>
      <w:r>
        <w:instrText xml:space="preserve"> PAGEREF _Toc225871478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5E1F57D5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"_Toc225871479" </w:instrText>
      </w:r>
      <w:r>
        <w:fldChar w:fldCharType="separate"/>
      </w:r>
      <w:r>
        <w:rPr>
          <w:rStyle w:val="17"/>
        </w:rPr>
        <w:t>1 Введение</w:t>
      </w:r>
      <w:r>
        <w:tab/>
      </w:r>
      <w:r>
        <w:fldChar w:fldCharType="begin"/>
      </w:r>
      <w:r>
        <w:instrText xml:space="preserve"> PAGEREF _Toc225871479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3795EA4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"_Toc225871480" </w:instrText>
      </w:r>
      <w:r>
        <w:fldChar w:fldCharType="separate"/>
      </w:r>
      <w:r>
        <w:rPr>
          <w:rStyle w:val="17"/>
        </w:rPr>
        <w:t>1.1 Область применения</w:t>
      </w:r>
      <w:r>
        <w:tab/>
      </w:r>
      <w:r>
        <w:fldChar w:fldCharType="begin"/>
      </w:r>
      <w:r>
        <w:instrText xml:space="preserve"> PAGEREF _Toc225871480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1230B8BC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"_Toc225871481" </w:instrText>
      </w:r>
      <w:r>
        <w:fldChar w:fldCharType="separate"/>
      </w:r>
      <w:r>
        <w:rPr>
          <w:rStyle w:val="17"/>
        </w:rPr>
        <w:t>1.2 Краткое описание возможностей</w:t>
      </w:r>
      <w:r>
        <w:tab/>
      </w:r>
      <w:r>
        <w:fldChar w:fldCharType="begin"/>
      </w:r>
      <w:r>
        <w:instrText xml:space="preserve"> PAGEREF _Toc225871481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22BC136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"_Toc225871482" </w:instrText>
      </w:r>
      <w:r>
        <w:fldChar w:fldCharType="separate"/>
      </w:r>
      <w:r>
        <w:rPr>
          <w:rStyle w:val="17"/>
        </w:rPr>
        <w:t>1.3 Уровень подготовки пользователя</w:t>
      </w:r>
      <w:r>
        <w:tab/>
      </w:r>
      <w:r>
        <w:fldChar w:fldCharType="begin"/>
      </w:r>
      <w:r>
        <w:instrText xml:space="preserve"> PAGEREF _Toc225871482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13A0284F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"_Toc225871483" </w:instrText>
      </w:r>
      <w:r>
        <w:fldChar w:fldCharType="separate"/>
      </w:r>
      <w:r>
        <w:rPr>
          <w:rStyle w:val="17"/>
        </w:rPr>
        <w:t>1.4 Перечень эксплуатационной документации для ознакомления</w:t>
      </w:r>
      <w:r>
        <w:tab/>
      </w:r>
      <w:r>
        <w:fldChar w:fldCharType="begin"/>
      </w:r>
      <w:r>
        <w:instrText xml:space="preserve"> PAGEREF _Toc225871483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02372390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"_Toc225871484" </w:instrText>
      </w:r>
      <w:r>
        <w:fldChar w:fldCharType="separate"/>
      </w:r>
      <w:r>
        <w:rPr>
          <w:rStyle w:val="17"/>
        </w:rPr>
        <w:t>2 Назначение и условия применения</w:t>
      </w:r>
      <w:r>
        <w:tab/>
      </w:r>
      <w:r>
        <w:fldChar w:fldCharType="begin"/>
      </w:r>
      <w:r>
        <w:instrText xml:space="preserve"> PAGEREF _Toc225871484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185BFC05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"_Toc225871485" </w:instrText>
      </w:r>
      <w:r>
        <w:fldChar w:fldCharType="separate"/>
      </w:r>
      <w:r>
        <w:rPr>
          <w:rStyle w:val="17"/>
        </w:rPr>
        <w:t>2.1 Виды деятельности, функции, для автоматизации которых предназначена подсистема</w:t>
      </w:r>
      <w:r>
        <w:tab/>
      </w:r>
      <w:r>
        <w:fldChar w:fldCharType="begin"/>
      </w:r>
      <w:r>
        <w:instrText xml:space="preserve"> PAGEREF _Toc225871485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1BE001D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"_Toc225871486" </w:instrText>
      </w:r>
      <w:r>
        <w:fldChar w:fldCharType="separate"/>
      </w:r>
      <w:r>
        <w:rPr>
          <w:rStyle w:val="17"/>
        </w:rPr>
        <w:t>2.2 Требования к соблюдению информационной безопасности при работе с подсистемой</w:t>
      </w:r>
      <w:r>
        <w:tab/>
      </w:r>
      <w:r>
        <w:fldChar w:fldCharType="begin"/>
      </w:r>
      <w:r>
        <w:instrText xml:space="preserve"> PAGEREF _Toc225871486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7BB38485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"_Toc225871487" </w:instrText>
      </w:r>
      <w:r>
        <w:fldChar w:fldCharType="separate"/>
      </w:r>
      <w:r>
        <w:rPr>
          <w:rStyle w:val="17"/>
        </w:rPr>
        <w:t>2.3 Условия применения</w:t>
      </w:r>
      <w:r>
        <w:tab/>
      </w:r>
      <w:r>
        <w:fldChar w:fldCharType="begin"/>
      </w:r>
      <w:r>
        <w:instrText xml:space="preserve"> PAGEREF _Toc225871487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 w14:paraId="30EFE657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"_Toc225871488" </w:instrText>
      </w:r>
      <w:r>
        <w:fldChar w:fldCharType="separate"/>
      </w:r>
      <w:r>
        <w:rPr>
          <w:rStyle w:val="17"/>
        </w:rPr>
        <w:t>2.4 Актуализация сведений о структуре медицинской организации и сведений о медицинских работниках</w:t>
      </w:r>
      <w:r>
        <w:tab/>
      </w:r>
      <w:r>
        <w:fldChar w:fldCharType="begin"/>
      </w:r>
      <w:r>
        <w:instrText xml:space="preserve"> PAGEREF _Toc225871488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7E64738A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"_Toc225871489" </w:instrText>
      </w:r>
      <w:r>
        <w:fldChar w:fldCharType="separate"/>
      </w:r>
      <w:r>
        <w:rPr>
          <w:rStyle w:val="17"/>
        </w:rPr>
        <w:t>3 Подготовка к работе</w:t>
      </w:r>
      <w:r>
        <w:tab/>
      </w:r>
      <w:r>
        <w:fldChar w:fldCharType="begin"/>
      </w:r>
      <w:r>
        <w:instrText xml:space="preserve"> PAGEREF _Toc225871489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6EB17076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"_Toc225871490" </w:instrText>
      </w:r>
      <w:r>
        <w:fldChar w:fldCharType="separate"/>
      </w:r>
      <w:r>
        <w:rPr>
          <w:rStyle w:val="17"/>
        </w:rPr>
        <w:t>3.1 Состав и содержание дистрибутивного носителя данных</w:t>
      </w:r>
      <w:r>
        <w:tab/>
      </w:r>
      <w:r>
        <w:fldChar w:fldCharType="begin"/>
      </w:r>
      <w:r>
        <w:instrText xml:space="preserve"> PAGEREF _Toc225871490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28345E79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"_Toc225871491" </w:instrText>
      </w:r>
      <w:r>
        <w:fldChar w:fldCharType="separate"/>
      </w:r>
      <w:r>
        <w:rPr>
          <w:rStyle w:val="17"/>
        </w:rPr>
        <w:t>3.2 Предварительные условия</w:t>
      </w:r>
      <w:r>
        <w:tab/>
      </w:r>
      <w:r>
        <w:fldChar w:fldCharType="begin"/>
      </w:r>
      <w:r>
        <w:instrText xml:space="preserve"> PAGEREF _Toc225871491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7C190851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"_Toc225871492" </w:instrText>
      </w:r>
      <w:r>
        <w:fldChar w:fldCharType="separate"/>
      </w:r>
      <w:r>
        <w:rPr>
          <w:rStyle w:val="17"/>
        </w:rPr>
        <w:t>3.3 Порядок запуска подсистемы</w:t>
      </w:r>
      <w:r>
        <w:tab/>
      </w:r>
      <w:r>
        <w:fldChar w:fldCharType="begin"/>
      </w:r>
      <w:r>
        <w:instrText xml:space="preserve"> PAGEREF _Toc225871492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67610CC0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"_Toc225871493" </w:instrText>
      </w:r>
      <w:r>
        <w:fldChar w:fldCharType="separate"/>
      </w:r>
      <w:r>
        <w:rPr>
          <w:rStyle w:val="17"/>
        </w:rPr>
        <w:t>3.4 Завершение работы</w:t>
      </w:r>
      <w:r>
        <w:tab/>
      </w:r>
      <w:r>
        <w:fldChar w:fldCharType="begin"/>
      </w:r>
      <w:r>
        <w:instrText xml:space="preserve"> PAGEREF _Toc225871493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11330F60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"_Toc225871494" </w:instrText>
      </w:r>
      <w:r>
        <w:fldChar w:fldCharType="separate"/>
      </w:r>
      <w:r>
        <w:rPr>
          <w:rStyle w:val="17"/>
        </w:rPr>
        <w:t>3.5 Порядок проверки работоспособности</w:t>
      </w:r>
      <w:r>
        <w:tab/>
      </w:r>
      <w:r>
        <w:fldChar w:fldCharType="begin"/>
      </w:r>
      <w:r>
        <w:instrText xml:space="preserve"> PAGEREF _Toc225871494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6EE17F62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"_Toc225871495" </w:instrText>
      </w:r>
      <w:r>
        <w:fldChar w:fldCharType="separate"/>
      </w:r>
      <w:r>
        <w:rPr>
          <w:rStyle w:val="17"/>
        </w:rPr>
        <w:t>3.6 Описание интерфейса</w:t>
      </w:r>
      <w:r>
        <w:tab/>
      </w:r>
      <w:r>
        <w:fldChar w:fldCharType="begin"/>
      </w:r>
      <w:r>
        <w:instrText xml:space="preserve"> PAGEREF _Toc225871495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5BE0C491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"_Toc225871496" </w:instrText>
      </w:r>
      <w:r>
        <w:fldChar w:fldCharType="separate"/>
      </w:r>
      <w:r>
        <w:rPr>
          <w:rStyle w:val="17"/>
        </w:rPr>
        <w:t xml:space="preserve">3.6.1 Стартовая страница </w:t>
      </w:r>
      <w:r>
        <w:rPr>
          <w:rStyle w:val="17"/>
          <w:rFonts w:eastAsia="Arial Unicode MS"/>
        </w:rPr>
        <w:t>ФПУМП</w:t>
      </w:r>
      <w:r>
        <w:tab/>
      </w:r>
      <w:r>
        <w:fldChar w:fldCharType="begin"/>
      </w:r>
      <w:r>
        <w:instrText xml:space="preserve"> PAGEREF _Toc225871496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58E1D327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"_Toc225871497" </w:instrText>
      </w:r>
      <w:r>
        <w:fldChar w:fldCharType="separate"/>
      </w:r>
      <w:r>
        <w:rPr>
          <w:rStyle w:val="17"/>
          <w:lang w:val="en-US"/>
        </w:rPr>
        <w:t>3.6.2</w:t>
      </w:r>
      <w:r>
        <w:rPr>
          <w:rStyle w:val="17"/>
        </w:rPr>
        <w:t xml:space="preserve"> Область отображения данных пользователя</w:t>
      </w:r>
      <w:r>
        <w:tab/>
      </w:r>
      <w:r>
        <w:fldChar w:fldCharType="begin"/>
      </w:r>
      <w:r>
        <w:instrText xml:space="preserve"> PAGEREF _Toc225871497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6A6E6F4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"_Toc225871498" </w:instrText>
      </w:r>
      <w:r>
        <w:fldChar w:fldCharType="separate"/>
      </w:r>
      <w:r>
        <w:rPr>
          <w:rStyle w:val="17"/>
          <w:rFonts w:eastAsia="Arial Unicode MS"/>
        </w:rPr>
        <w:t>3.6.3 Лента главного меню</w:t>
      </w:r>
      <w:r>
        <w:tab/>
      </w:r>
      <w:r>
        <w:fldChar w:fldCharType="begin"/>
      </w:r>
      <w:r>
        <w:instrText xml:space="preserve"> PAGEREF _Toc225871498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 w14:paraId="29AF2CF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"_Toc225871499" </w:instrText>
      </w:r>
      <w:r>
        <w:fldChar w:fldCharType="separate"/>
      </w:r>
      <w:r>
        <w:rPr>
          <w:rStyle w:val="17"/>
        </w:rPr>
        <w:t>3.6.4 Панель фильтрации и поиска информации</w:t>
      </w:r>
      <w:r>
        <w:tab/>
      </w:r>
      <w:r>
        <w:fldChar w:fldCharType="begin"/>
      </w:r>
      <w:r>
        <w:instrText xml:space="preserve"> PAGEREF _Toc225871499 \h </w:instrText>
      </w:r>
      <w:r>
        <w:fldChar w:fldCharType="separate"/>
      </w:r>
      <w:r>
        <w:t>20</w:t>
      </w:r>
      <w:r>
        <w:fldChar w:fldCharType="end"/>
      </w:r>
      <w:r>
        <w:fldChar w:fldCharType="end"/>
      </w:r>
    </w:p>
    <w:p w14:paraId="405DC2F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"_Toc225871500" </w:instrText>
      </w:r>
      <w:r>
        <w:fldChar w:fldCharType="separate"/>
      </w:r>
      <w:r>
        <w:rPr>
          <w:rStyle w:val="17"/>
        </w:rPr>
        <w:t>3.6.5 Рабочая область</w:t>
      </w:r>
      <w:r>
        <w:tab/>
      </w:r>
      <w:r>
        <w:fldChar w:fldCharType="begin"/>
      </w:r>
      <w:r>
        <w:instrText xml:space="preserve"> PAGEREF _Toc225871500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680D94DC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"_Toc225871501" </w:instrText>
      </w:r>
      <w:r>
        <w:fldChar w:fldCharType="separate"/>
      </w:r>
      <w:r>
        <w:rPr>
          <w:rStyle w:val="17"/>
        </w:rPr>
        <w:t>4 Описание операций</w:t>
      </w:r>
      <w:r>
        <w:tab/>
      </w:r>
      <w:r>
        <w:fldChar w:fldCharType="begin"/>
      </w:r>
      <w:r>
        <w:instrText xml:space="preserve"> PAGEREF _Toc225871501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6C14A3EC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"_Toc225871502" </w:instrText>
      </w:r>
      <w:r>
        <w:fldChar w:fldCharType="separate"/>
      </w:r>
      <w:r>
        <w:rPr>
          <w:rStyle w:val="17"/>
        </w:rPr>
        <w:t>4.1 Перечень выполняемых операций и задач</w:t>
      </w:r>
      <w:r>
        <w:tab/>
      </w:r>
      <w:r>
        <w:fldChar w:fldCharType="begin"/>
      </w:r>
      <w:r>
        <w:instrText xml:space="preserve"> PAGEREF _Toc225871502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6EE17311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"_Toc225871503" </w:instrText>
      </w:r>
      <w:r>
        <w:fldChar w:fldCharType="separate"/>
      </w:r>
      <w:r>
        <w:rPr>
          <w:rStyle w:val="17"/>
        </w:rPr>
        <w:t>4.2 Учет сведений об оказанной медицинской помощи</w:t>
      </w:r>
      <w:r>
        <w:tab/>
      </w:r>
      <w:r>
        <w:fldChar w:fldCharType="begin"/>
      </w:r>
      <w:r>
        <w:instrText xml:space="preserve"> PAGEREF _Toc225871503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5A08476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"_Toc225871504" </w:instrText>
      </w:r>
      <w:r>
        <w:fldChar w:fldCharType="separate"/>
      </w:r>
      <w:r>
        <w:rPr>
          <w:rStyle w:val="17"/>
        </w:rPr>
        <w:t>4.2.1 Регистрация и передача сведений об оказанной медицинской помощи</w:t>
      </w:r>
      <w:r>
        <w:tab/>
      </w:r>
      <w:r>
        <w:fldChar w:fldCharType="begin"/>
      </w:r>
      <w:r>
        <w:instrText xml:space="preserve"> PAGEREF _Toc225871504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0AA796A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"_Toc225871505" </w:instrText>
      </w:r>
      <w:r>
        <w:fldChar w:fldCharType="separate"/>
      </w:r>
      <w:r>
        <w:rPr>
          <w:rStyle w:val="17"/>
        </w:rPr>
        <w:t>4.2.2 Создание СЭФД</w:t>
      </w:r>
      <w:r>
        <w:tab/>
      </w:r>
      <w:r>
        <w:fldChar w:fldCharType="begin"/>
      </w:r>
      <w:r>
        <w:instrText xml:space="preserve"> PAGEREF _Toc225871505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5A4C5266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"_Toc225871506" </w:instrText>
      </w:r>
      <w:r>
        <w:fldChar w:fldCharType="separate"/>
      </w:r>
      <w:r>
        <w:rPr>
          <w:rStyle w:val="17"/>
          <w:lang w:eastAsia="en-US"/>
        </w:rPr>
        <w:t>4.2.3 Заполнение СЭФД СТЦ</w:t>
      </w:r>
      <w:r>
        <w:tab/>
      </w:r>
      <w:r>
        <w:fldChar w:fldCharType="begin"/>
      </w:r>
      <w:r>
        <w:instrText xml:space="preserve"> PAGEREF _Toc225871506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3D01EDF1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"_Toc225871507" </w:instrText>
      </w:r>
      <w:r>
        <w:fldChar w:fldCharType="separate"/>
      </w:r>
      <w:r>
        <w:rPr>
          <w:rStyle w:val="17"/>
        </w:rPr>
        <w:t>4.2.4 Заполнение СЭФД АМБ</w:t>
      </w:r>
      <w:r>
        <w:tab/>
      </w:r>
      <w:r>
        <w:fldChar w:fldCharType="begin"/>
      </w:r>
      <w:r>
        <w:instrText xml:space="preserve"> PAGEREF _Toc225871507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0E121D0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"_Toc225871508" </w:instrText>
      </w:r>
      <w:r>
        <w:fldChar w:fldCharType="separate"/>
      </w:r>
      <w:r>
        <w:rPr>
          <w:rStyle w:val="17"/>
        </w:rPr>
        <w:t>4.2.5 Заполнение СЭФД СМП</w:t>
      </w:r>
      <w:r>
        <w:tab/>
      </w:r>
      <w:r>
        <w:fldChar w:fldCharType="begin"/>
      </w:r>
      <w:r>
        <w:instrText xml:space="preserve"> PAGEREF _Toc225871508 \h </w:instrText>
      </w:r>
      <w:r>
        <w:fldChar w:fldCharType="separate"/>
      </w:r>
      <w:r>
        <w:t>77</w:t>
      </w:r>
      <w:r>
        <w:fldChar w:fldCharType="end"/>
      </w:r>
      <w:r>
        <w:fldChar w:fldCharType="end"/>
      </w:r>
    </w:p>
    <w:p w14:paraId="67F16824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"_Toc225871509" </w:instrText>
      </w:r>
      <w:r>
        <w:fldChar w:fldCharType="separate"/>
      </w:r>
      <w:r>
        <w:rPr>
          <w:rStyle w:val="17"/>
        </w:rPr>
        <w:t>4.2.6 Сохранение СЭФД</w:t>
      </w:r>
      <w:r>
        <w:tab/>
      </w:r>
      <w:r>
        <w:fldChar w:fldCharType="begin"/>
      </w:r>
      <w:r>
        <w:instrText xml:space="preserve"> PAGEREF _Toc225871509 \h </w:instrText>
      </w:r>
      <w:r>
        <w:fldChar w:fldCharType="separate"/>
      </w:r>
      <w:r>
        <w:t>86</w:t>
      </w:r>
      <w:r>
        <w:fldChar w:fldCharType="end"/>
      </w:r>
      <w:r>
        <w:fldChar w:fldCharType="end"/>
      </w:r>
    </w:p>
    <w:p w14:paraId="333526EA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"_Toc225871510" </w:instrText>
      </w:r>
      <w:r>
        <w:fldChar w:fldCharType="separate"/>
      </w:r>
      <w:r>
        <w:rPr>
          <w:rStyle w:val="17"/>
        </w:rPr>
        <w:t>4.2.7 Поиск и просмотр СЭФД</w:t>
      </w:r>
      <w:r>
        <w:tab/>
      </w:r>
      <w:r>
        <w:fldChar w:fldCharType="begin"/>
      </w:r>
      <w:r>
        <w:instrText xml:space="preserve"> PAGEREF _Toc225871510 \h </w:instrText>
      </w:r>
      <w:r>
        <w:fldChar w:fldCharType="separate"/>
      </w:r>
      <w:r>
        <w:t>90</w:t>
      </w:r>
      <w:r>
        <w:fldChar w:fldCharType="end"/>
      </w:r>
      <w:r>
        <w:fldChar w:fldCharType="end"/>
      </w:r>
    </w:p>
    <w:p w14:paraId="19229FD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"_Toc225871511" </w:instrText>
      </w:r>
      <w:r>
        <w:fldChar w:fldCharType="separate"/>
      </w:r>
      <w:r>
        <w:rPr>
          <w:rStyle w:val="17"/>
        </w:rPr>
        <w:t>4.2.8 Редактирование СЭФД</w:t>
      </w:r>
      <w:r>
        <w:tab/>
      </w:r>
      <w:r>
        <w:fldChar w:fldCharType="begin"/>
      </w:r>
      <w:r>
        <w:instrText xml:space="preserve"> PAGEREF _Toc225871511 \h </w:instrText>
      </w:r>
      <w:r>
        <w:fldChar w:fldCharType="separate"/>
      </w:r>
      <w:r>
        <w:t>92</w:t>
      </w:r>
      <w:r>
        <w:fldChar w:fldCharType="end"/>
      </w:r>
      <w:r>
        <w:fldChar w:fldCharType="end"/>
      </w:r>
    </w:p>
    <w:p w14:paraId="605A19B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"_Toc225871512" </w:instrText>
      </w:r>
      <w:r>
        <w:fldChar w:fldCharType="separate"/>
      </w:r>
      <w:r>
        <w:rPr>
          <w:rStyle w:val="17"/>
        </w:rPr>
        <w:t>4.2.9 Просмотр результатов ФЛК и МЭК СЭФД</w:t>
      </w:r>
      <w:r>
        <w:tab/>
      </w:r>
      <w:r>
        <w:fldChar w:fldCharType="begin"/>
      </w:r>
      <w:r>
        <w:instrText xml:space="preserve"> PAGEREF _Toc225871512 \h </w:instrText>
      </w:r>
      <w:r>
        <w:fldChar w:fldCharType="separate"/>
      </w:r>
      <w:r>
        <w:t>93</w:t>
      </w:r>
      <w:r>
        <w:fldChar w:fldCharType="end"/>
      </w:r>
      <w:r>
        <w:fldChar w:fldCharType="end"/>
      </w:r>
    </w:p>
    <w:p w14:paraId="7B98BCC5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"_Toc225871513" </w:instrText>
      </w:r>
      <w:r>
        <w:fldChar w:fldCharType="separate"/>
      </w:r>
      <w:r>
        <w:rPr>
          <w:rStyle w:val="17"/>
        </w:rPr>
        <w:t>4.2.10 Просмотр сведений, попавших в счет</w:t>
      </w:r>
      <w:r>
        <w:tab/>
      </w:r>
      <w:r>
        <w:fldChar w:fldCharType="begin"/>
      </w:r>
      <w:r>
        <w:instrText xml:space="preserve"> PAGEREF _Toc225871513 \h </w:instrText>
      </w:r>
      <w:r>
        <w:fldChar w:fldCharType="separate"/>
      </w:r>
      <w:r>
        <w:t>94</w:t>
      </w:r>
      <w:r>
        <w:fldChar w:fldCharType="end"/>
      </w:r>
      <w:r>
        <w:fldChar w:fldCharType="end"/>
      </w:r>
    </w:p>
    <w:p w14:paraId="2D8EBC1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"_Toc225871514" </w:instrText>
      </w:r>
      <w:r>
        <w:fldChar w:fldCharType="separate"/>
      </w:r>
      <w:r>
        <w:rPr>
          <w:rStyle w:val="17"/>
        </w:rPr>
        <w:t xml:space="preserve">4.2.11 Просмотр сведений в составе СЭФД по разделу </w:t>
      </w:r>
      <w:r>
        <w:rPr>
          <w:rStyle w:val="17"/>
          <w:lang w:val="en-US"/>
        </w:rPr>
        <w:t>XV</w:t>
      </w:r>
      <w:r>
        <w:rPr>
          <w:rStyle w:val="17"/>
        </w:rPr>
        <w:t xml:space="preserve"> Правил ОМС</w:t>
      </w:r>
      <w:r>
        <w:tab/>
      </w:r>
      <w:r>
        <w:fldChar w:fldCharType="begin"/>
      </w:r>
      <w:r>
        <w:instrText xml:space="preserve"> PAGEREF _Toc225871514 \h </w:instrText>
      </w:r>
      <w:r>
        <w:fldChar w:fldCharType="separate"/>
      </w:r>
      <w:r>
        <w:t>95</w:t>
      </w:r>
      <w:r>
        <w:fldChar w:fldCharType="end"/>
      </w:r>
      <w:r>
        <w:fldChar w:fldCharType="end"/>
      </w:r>
    </w:p>
    <w:p w14:paraId="57D389C3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"_Toc225871515" </w:instrText>
      </w:r>
      <w:r>
        <w:fldChar w:fldCharType="separate"/>
      </w:r>
      <w:r>
        <w:rPr>
          <w:rStyle w:val="17"/>
        </w:rPr>
        <w:t>4.3 Формирование счетов и реестра счетов</w:t>
      </w:r>
      <w:r>
        <w:tab/>
      </w:r>
      <w:r>
        <w:fldChar w:fldCharType="begin"/>
      </w:r>
      <w:r>
        <w:instrText xml:space="preserve"> PAGEREF _Toc225871515 \h </w:instrText>
      </w:r>
      <w:r>
        <w:fldChar w:fldCharType="separate"/>
      </w:r>
      <w:r>
        <w:t>97</w:t>
      </w:r>
      <w:r>
        <w:fldChar w:fldCharType="end"/>
      </w:r>
      <w:r>
        <w:fldChar w:fldCharType="end"/>
      </w:r>
    </w:p>
    <w:p w14:paraId="6958E6E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"_Toc225871516" </w:instrText>
      </w:r>
      <w:r>
        <w:fldChar w:fldCharType="separate"/>
      </w:r>
      <w:r>
        <w:rPr>
          <w:rStyle w:val="17"/>
          <w:lang w:eastAsia="en-US"/>
        </w:rPr>
        <w:t>4.3.1 Просмотр реестра счетов</w:t>
      </w:r>
      <w:r>
        <w:tab/>
      </w:r>
      <w:r>
        <w:fldChar w:fldCharType="begin"/>
      </w:r>
      <w:r>
        <w:instrText xml:space="preserve"> PAGEREF _Toc225871516 \h </w:instrText>
      </w:r>
      <w:r>
        <w:fldChar w:fldCharType="separate"/>
      </w:r>
      <w:r>
        <w:t>97</w:t>
      </w:r>
      <w:r>
        <w:fldChar w:fldCharType="end"/>
      </w:r>
      <w:r>
        <w:fldChar w:fldCharType="end"/>
      </w:r>
    </w:p>
    <w:p w14:paraId="129E85A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"_Toc225871517" </w:instrText>
      </w:r>
      <w:r>
        <w:fldChar w:fldCharType="separate"/>
      </w:r>
      <w:r>
        <w:rPr>
          <w:rStyle w:val="17"/>
        </w:rPr>
        <w:t>4.3.2 Поиск и просмотр счетов</w:t>
      </w:r>
      <w:r>
        <w:tab/>
      </w:r>
      <w:r>
        <w:fldChar w:fldCharType="begin"/>
      </w:r>
      <w:r>
        <w:instrText xml:space="preserve"> PAGEREF _Toc225871517 \h </w:instrText>
      </w:r>
      <w:r>
        <w:fldChar w:fldCharType="separate"/>
      </w:r>
      <w:r>
        <w:t>99</w:t>
      </w:r>
      <w:r>
        <w:fldChar w:fldCharType="end"/>
      </w:r>
      <w:r>
        <w:fldChar w:fldCharType="end"/>
      </w:r>
    </w:p>
    <w:p w14:paraId="6679524B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"_Toc225871518" </w:instrText>
      </w:r>
      <w:r>
        <w:fldChar w:fldCharType="separate"/>
      </w:r>
      <w:r>
        <w:rPr>
          <w:rStyle w:val="17"/>
        </w:rPr>
        <w:t>4.3.3 Просмотр паспорта счета</w:t>
      </w:r>
      <w:r>
        <w:tab/>
      </w:r>
      <w:r>
        <w:fldChar w:fldCharType="begin"/>
      </w:r>
      <w:r>
        <w:instrText xml:space="preserve"> PAGEREF _Toc225871518 \h </w:instrText>
      </w:r>
      <w:r>
        <w:fldChar w:fldCharType="separate"/>
      </w:r>
      <w:r>
        <w:t>104</w:t>
      </w:r>
      <w:r>
        <w:fldChar w:fldCharType="end"/>
      </w:r>
      <w:r>
        <w:fldChar w:fldCharType="end"/>
      </w:r>
    </w:p>
    <w:p w14:paraId="5756FB2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"_Toc225871519" </w:instrText>
      </w:r>
      <w:r>
        <w:fldChar w:fldCharType="separate"/>
      </w:r>
      <w:r>
        <w:rPr>
          <w:rStyle w:val="17"/>
        </w:rPr>
        <w:t>4.3.4 Просмотр папки с ошибочными СЭФД</w:t>
      </w:r>
      <w:r>
        <w:tab/>
      </w:r>
      <w:r>
        <w:fldChar w:fldCharType="begin"/>
      </w:r>
      <w:r>
        <w:instrText xml:space="preserve"> PAGEREF _Toc225871519 \h </w:instrText>
      </w:r>
      <w:r>
        <w:fldChar w:fldCharType="separate"/>
      </w:r>
      <w:r>
        <w:t>104</w:t>
      </w:r>
      <w:r>
        <w:fldChar w:fldCharType="end"/>
      </w:r>
      <w:r>
        <w:fldChar w:fldCharType="end"/>
      </w:r>
    </w:p>
    <w:p w14:paraId="3EEE2DA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"_Toc225871520" </w:instrText>
      </w:r>
      <w:r>
        <w:fldChar w:fldCharType="separate"/>
      </w:r>
      <w:r>
        <w:rPr>
          <w:rStyle w:val="17"/>
        </w:rPr>
        <w:t>4.3.5 Формирование счета</w:t>
      </w:r>
      <w:r>
        <w:tab/>
      </w:r>
      <w:r>
        <w:fldChar w:fldCharType="begin"/>
      </w:r>
      <w:r>
        <w:instrText xml:space="preserve"> PAGEREF _Toc225871520 \h </w:instrText>
      </w:r>
      <w:r>
        <w:fldChar w:fldCharType="separate"/>
      </w:r>
      <w:r>
        <w:t>107</w:t>
      </w:r>
      <w:r>
        <w:fldChar w:fldCharType="end"/>
      </w:r>
      <w:r>
        <w:fldChar w:fldCharType="end"/>
      </w:r>
    </w:p>
    <w:p w14:paraId="525A771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"_Toc225871521" </w:instrText>
      </w:r>
      <w:r>
        <w:fldChar w:fldCharType="separate"/>
      </w:r>
      <w:r>
        <w:rPr>
          <w:rStyle w:val="17"/>
          <w:lang w:eastAsia="en-US"/>
        </w:rPr>
        <w:t>4.3.6 Подписание счета</w:t>
      </w:r>
      <w:r>
        <w:tab/>
      </w:r>
      <w:r>
        <w:fldChar w:fldCharType="begin"/>
      </w:r>
      <w:r>
        <w:instrText xml:space="preserve"> PAGEREF _Toc225871521 \h </w:instrText>
      </w:r>
      <w:r>
        <w:fldChar w:fldCharType="separate"/>
      </w:r>
      <w:r>
        <w:t>108</w:t>
      </w:r>
      <w:r>
        <w:fldChar w:fldCharType="end"/>
      </w:r>
      <w:r>
        <w:fldChar w:fldCharType="end"/>
      </w:r>
    </w:p>
    <w:p w14:paraId="7397D797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"_Toc225871522" </w:instrText>
      </w:r>
      <w:r>
        <w:fldChar w:fldCharType="separate"/>
      </w:r>
      <w:r>
        <w:rPr>
          <w:rStyle w:val="17"/>
        </w:rPr>
        <w:t>4.3.7 Отправка счета плательщику</w:t>
      </w:r>
      <w:r>
        <w:tab/>
      </w:r>
      <w:r>
        <w:fldChar w:fldCharType="begin"/>
      </w:r>
      <w:r>
        <w:instrText xml:space="preserve"> PAGEREF _Toc225871522 \h </w:instrText>
      </w:r>
      <w:r>
        <w:fldChar w:fldCharType="separate"/>
      </w:r>
      <w:r>
        <w:t>110</w:t>
      </w:r>
      <w:r>
        <w:fldChar w:fldCharType="end"/>
      </w:r>
      <w:r>
        <w:fldChar w:fldCharType="end"/>
      </w:r>
    </w:p>
    <w:p w14:paraId="2336B01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"_Toc225871523" </w:instrText>
      </w:r>
      <w:r>
        <w:fldChar w:fldCharType="separate"/>
      </w:r>
      <w:r>
        <w:rPr>
          <w:rStyle w:val="17"/>
        </w:rPr>
        <w:t>4.3.8 Статусы счетов</w:t>
      </w:r>
      <w:r>
        <w:tab/>
      </w:r>
      <w:r>
        <w:fldChar w:fldCharType="begin"/>
      </w:r>
      <w:r>
        <w:instrText xml:space="preserve"> PAGEREF _Toc225871523 \h </w:instrText>
      </w:r>
      <w:r>
        <w:fldChar w:fldCharType="separate"/>
      </w:r>
      <w:r>
        <w:t>111</w:t>
      </w:r>
      <w:r>
        <w:fldChar w:fldCharType="end"/>
      </w:r>
      <w:r>
        <w:fldChar w:fldCharType="end"/>
      </w:r>
    </w:p>
    <w:p w14:paraId="040D71E4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"_Toc225871524" </w:instrText>
      </w:r>
      <w:r>
        <w:fldChar w:fldCharType="separate"/>
      </w:r>
      <w:r>
        <w:rPr>
          <w:rStyle w:val="17"/>
          <w:lang w:eastAsia="en-US"/>
        </w:rPr>
        <w:t>4.3.9 Просмотр результатов МЭК</w:t>
      </w:r>
      <w:r>
        <w:tab/>
      </w:r>
      <w:r>
        <w:fldChar w:fldCharType="begin"/>
      </w:r>
      <w:r>
        <w:instrText xml:space="preserve"> PAGEREF _Toc225871524 \h </w:instrText>
      </w:r>
      <w:r>
        <w:fldChar w:fldCharType="separate"/>
      </w:r>
      <w:r>
        <w:t>112</w:t>
      </w:r>
      <w:r>
        <w:fldChar w:fldCharType="end"/>
      </w:r>
      <w:r>
        <w:fldChar w:fldCharType="end"/>
      </w:r>
    </w:p>
    <w:p w14:paraId="12D6F905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"_Toc225871525" </w:instrText>
      </w:r>
      <w:r>
        <w:fldChar w:fldCharType="separate"/>
      </w:r>
      <w:r>
        <w:rPr>
          <w:rStyle w:val="17"/>
        </w:rPr>
        <w:t>4.3.10 Просмотр результатов повторного МЭК</w:t>
      </w:r>
      <w:r>
        <w:tab/>
      </w:r>
      <w:r>
        <w:fldChar w:fldCharType="begin"/>
      </w:r>
      <w:r>
        <w:instrText xml:space="preserve"> PAGEREF _Toc225871525 \h </w:instrText>
      </w:r>
      <w:r>
        <w:fldChar w:fldCharType="separate"/>
      </w:r>
      <w:r>
        <w:t>112</w:t>
      </w:r>
      <w:r>
        <w:fldChar w:fldCharType="end"/>
      </w:r>
      <w:r>
        <w:fldChar w:fldCharType="end"/>
      </w:r>
    </w:p>
    <w:p w14:paraId="5C1BE957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"_Toc225871526" </w:instrText>
      </w:r>
      <w:r>
        <w:fldChar w:fldCharType="separate"/>
      </w:r>
      <w:r>
        <w:rPr>
          <w:rStyle w:val="17"/>
        </w:rPr>
        <w:t>4.4 Просмотр сведений об информационном взаимодействии между МО и Плательщиком</w:t>
      </w:r>
      <w:r>
        <w:tab/>
      </w:r>
      <w:r>
        <w:fldChar w:fldCharType="begin"/>
      </w:r>
      <w:r>
        <w:instrText xml:space="preserve"> PAGEREF _Toc225871526 \h </w:instrText>
      </w:r>
      <w:r>
        <w:fldChar w:fldCharType="separate"/>
      </w:r>
      <w:r>
        <w:t>116</w:t>
      </w:r>
      <w:r>
        <w:fldChar w:fldCharType="end"/>
      </w:r>
      <w:r>
        <w:fldChar w:fldCharType="end"/>
      </w:r>
    </w:p>
    <w:p w14:paraId="35D3951C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"_Toc225871527" </w:instrText>
      </w:r>
      <w:r>
        <w:fldChar w:fldCharType="separate"/>
      </w:r>
      <w:r>
        <w:rPr>
          <w:rStyle w:val="17"/>
        </w:rPr>
        <w:t>4.4.1 Поиск и просмотр сведений</w:t>
      </w:r>
      <w:r>
        <w:tab/>
      </w:r>
      <w:r>
        <w:fldChar w:fldCharType="begin"/>
      </w:r>
      <w:r>
        <w:instrText xml:space="preserve"> PAGEREF _Toc225871527 \h </w:instrText>
      </w:r>
      <w:r>
        <w:fldChar w:fldCharType="separate"/>
      </w:r>
      <w:r>
        <w:t>116</w:t>
      </w:r>
      <w:r>
        <w:fldChar w:fldCharType="end"/>
      </w:r>
      <w:r>
        <w:fldChar w:fldCharType="end"/>
      </w:r>
    </w:p>
    <w:p w14:paraId="110C193C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"_Toc225871528" </w:instrText>
      </w:r>
      <w:r>
        <w:fldChar w:fldCharType="separate"/>
      </w:r>
      <w:r>
        <w:rPr>
          <w:rStyle w:val="17"/>
        </w:rPr>
        <w:t>4.4.2 Выгрузка отчетов информационного взаимодействия</w:t>
      </w:r>
      <w:r>
        <w:tab/>
      </w:r>
      <w:r>
        <w:fldChar w:fldCharType="begin"/>
      </w:r>
      <w:r>
        <w:instrText xml:space="preserve"> PAGEREF _Toc225871528 \h </w:instrText>
      </w:r>
      <w:r>
        <w:fldChar w:fldCharType="separate"/>
      </w:r>
      <w:r>
        <w:t>118</w:t>
      </w:r>
      <w:r>
        <w:fldChar w:fldCharType="end"/>
      </w:r>
      <w:r>
        <w:fldChar w:fldCharType="end"/>
      </w:r>
    </w:p>
    <w:p w14:paraId="1830BFE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"_Toc225871529" </w:instrText>
      </w:r>
      <w:r>
        <w:fldChar w:fldCharType="separate"/>
      </w:r>
      <w:r>
        <w:rPr>
          <w:rStyle w:val="17"/>
        </w:rPr>
        <w:t>4.5 Просмотр реестра направлений</w:t>
      </w:r>
      <w:r>
        <w:tab/>
      </w:r>
      <w:r>
        <w:fldChar w:fldCharType="begin"/>
      </w:r>
      <w:r>
        <w:instrText xml:space="preserve"> PAGEREF _Toc225871529 \h </w:instrText>
      </w:r>
      <w:r>
        <w:fldChar w:fldCharType="separate"/>
      </w:r>
      <w:r>
        <w:t>121</w:t>
      </w:r>
      <w:r>
        <w:fldChar w:fldCharType="end"/>
      </w:r>
      <w:r>
        <w:fldChar w:fldCharType="end"/>
      </w:r>
    </w:p>
    <w:p w14:paraId="213EE81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"_Toc225871530" </w:instrText>
      </w:r>
      <w:r>
        <w:fldChar w:fldCharType="separate"/>
      </w:r>
      <w:r>
        <w:rPr>
          <w:rStyle w:val="17"/>
        </w:rPr>
        <w:t>4.5.1 Поиск и просмотр сведений о направлениях</w:t>
      </w:r>
      <w:r>
        <w:tab/>
      </w:r>
      <w:r>
        <w:fldChar w:fldCharType="begin"/>
      </w:r>
      <w:r>
        <w:instrText xml:space="preserve"> PAGEREF _Toc225871530 \h </w:instrText>
      </w:r>
      <w:r>
        <w:fldChar w:fldCharType="separate"/>
      </w:r>
      <w:r>
        <w:t>121</w:t>
      </w:r>
      <w:r>
        <w:fldChar w:fldCharType="end"/>
      </w:r>
      <w:r>
        <w:fldChar w:fldCharType="end"/>
      </w:r>
    </w:p>
    <w:p w14:paraId="055ABF2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"_Toc225871531" </w:instrText>
      </w:r>
      <w:r>
        <w:fldChar w:fldCharType="separate"/>
      </w:r>
      <w:r>
        <w:rPr>
          <w:rStyle w:val="17"/>
        </w:rPr>
        <w:t>4.5.2 Регистрация сведений входящего направления</w:t>
      </w:r>
      <w:r>
        <w:tab/>
      </w:r>
      <w:r>
        <w:fldChar w:fldCharType="begin"/>
      </w:r>
      <w:r>
        <w:instrText xml:space="preserve"> PAGEREF _Toc225871531 \h </w:instrText>
      </w:r>
      <w:r>
        <w:fldChar w:fldCharType="separate"/>
      </w:r>
      <w:r>
        <w:t>123</w:t>
      </w:r>
      <w:r>
        <w:fldChar w:fldCharType="end"/>
      </w:r>
      <w:r>
        <w:fldChar w:fldCharType="end"/>
      </w:r>
    </w:p>
    <w:p w14:paraId="056329BC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"_Toc225871532" </w:instrText>
      </w:r>
      <w:r>
        <w:fldChar w:fldCharType="separate"/>
      </w:r>
      <w:r>
        <w:rPr>
          <w:rStyle w:val="17"/>
        </w:rPr>
        <w:t>4.5.3 Регистрация сведений исходящего направления</w:t>
      </w:r>
      <w:r>
        <w:tab/>
      </w:r>
      <w:r>
        <w:fldChar w:fldCharType="begin"/>
      </w:r>
      <w:r>
        <w:instrText xml:space="preserve"> PAGEREF _Toc225871532 \h </w:instrText>
      </w:r>
      <w:r>
        <w:fldChar w:fldCharType="separate"/>
      </w:r>
      <w:r>
        <w:t>123</w:t>
      </w:r>
      <w:r>
        <w:fldChar w:fldCharType="end"/>
      </w:r>
      <w:r>
        <w:fldChar w:fldCharType="end"/>
      </w:r>
    </w:p>
    <w:p w14:paraId="4844D57B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"_Toc225871533" </w:instrText>
      </w:r>
      <w:r>
        <w:fldChar w:fldCharType="separate"/>
      </w:r>
      <w:r>
        <w:rPr>
          <w:rStyle w:val="17"/>
        </w:rPr>
        <w:t>4.5.4 Направления и талоны на специализированную и высокотехнологичную медицинскую помощь</w:t>
      </w:r>
      <w:r>
        <w:tab/>
      </w:r>
      <w:r>
        <w:fldChar w:fldCharType="begin"/>
      </w:r>
      <w:r>
        <w:instrText xml:space="preserve"> PAGEREF _Toc225871533 \h </w:instrText>
      </w:r>
      <w:r>
        <w:fldChar w:fldCharType="separate"/>
      </w:r>
      <w:r>
        <w:t>123</w:t>
      </w:r>
      <w:r>
        <w:fldChar w:fldCharType="end"/>
      </w:r>
      <w:r>
        <w:fldChar w:fldCharType="end"/>
      </w:r>
    </w:p>
    <w:p w14:paraId="13BEB4C4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"_Toc225871534" </w:instrText>
      </w:r>
      <w:r>
        <w:fldChar w:fldCharType="separate"/>
      </w:r>
      <w:r>
        <w:rPr>
          <w:rStyle w:val="17"/>
        </w:rPr>
        <w:t>4.6 Просмотр результатов экспертизы</w:t>
      </w:r>
      <w:r>
        <w:tab/>
      </w:r>
      <w:r>
        <w:fldChar w:fldCharType="begin"/>
      </w:r>
      <w:r>
        <w:instrText xml:space="preserve"> PAGEREF _Toc225871534 \h </w:instrText>
      </w:r>
      <w:r>
        <w:fldChar w:fldCharType="separate"/>
      </w:r>
      <w:r>
        <w:t>124</w:t>
      </w:r>
      <w:r>
        <w:fldChar w:fldCharType="end"/>
      </w:r>
      <w:r>
        <w:fldChar w:fldCharType="end"/>
      </w:r>
    </w:p>
    <w:p w14:paraId="162977F5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"_Toc225871535" </w:instrText>
      </w:r>
      <w:r>
        <w:fldChar w:fldCharType="separate"/>
      </w:r>
      <w:r>
        <w:rPr>
          <w:rStyle w:val="17"/>
        </w:rPr>
        <w:t>4.6.1 Общие сведения о проведении МЭЭ и ЭКМП</w:t>
      </w:r>
      <w:r>
        <w:tab/>
      </w:r>
      <w:r>
        <w:fldChar w:fldCharType="begin"/>
      </w:r>
      <w:r>
        <w:instrText xml:space="preserve"> PAGEREF _Toc225871535 \h </w:instrText>
      </w:r>
      <w:r>
        <w:fldChar w:fldCharType="separate"/>
      </w:r>
      <w:r>
        <w:t>124</w:t>
      </w:r>
      <w:r>
        <w:fldChar w:fldCharType="end"/>
      </w:r>
      <w:r>
        <w:fldChar w:fldCharType="end"/>
      </w:r>
    </w:p>
    <w:p w14:paraId="4FEBA0AF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"_Toc225871536" </w:instrText>
      </w:r>
      <w:r>
        <w:fldChar w:fldCharType="separate"/>
      </w:r>
      <w:r>
        <w:rPr>
          <w:rStyle w:val="17"/>
          <w:lang w:eastAsia="en-US"/>
        </w:rPr>
        <w:t>4.6.2 Поиск и просмотр экспертиз</w:t>
      </w:r>
      <w:r>
        <w:tab/>
      </w:r>
      <w:r>
        <w:fldChar w:fldCharType="begin"/>
      </w:r>
      <w:r>
        <w:instrText xml:space="preserve"> PAGEREF _Toc225871536 \h </w:instrText>
      </w:r>
      <w:r>
        <w:fldChar w:fldCharType="separate"/>
      </w:r>
      <w:r>
        <w:t>124</w:t>
      </w:r>
      <w:r>
        <w:fldChar w:fldCharType="end"/>
      </w:r>
      <w:r>
        <w:fldChar w:fldCharType="end"/>
      </w:r>
    </w:p>
    <w:p w14:paraId="1D8039A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"_Toc225871537" </w:instrText>
      </w:r>
      <w:r>
        <w:fldChar w:fldCharType="separate"/>
      </w:r>
      <w:r>
        <w:rPr>
          <w:rStyle w:val="17"/>
        </w:rPr>
        <w:t>4.6.3 Просмотр уведомлений о проведении экспертизы</w:t>
      </w:r>
      <w:r>
        <w:tab/>
      </w:r>
      <w:r>
        <w:fldChar w:fldCharType="begin"/>
      </w:r>
      <w:r>
        <w:instrText xml:space="preserve"> PAGEREF _Toc225871537 \h </w:instrText>
      </w:r>
      <w:r>
        <w:fldChar w:fldCharType="separate"/>
      </w:r>
      <w:r>
        <w:t>129</w:t>
      </w:r>
      <w:r>
        <w:fldChar w:fldCharType="end"/>
      </w:r>
      <w:r>
        <w:fldChar w:fldCharType="end"/>
      </w:r>
    </w:p>
    <w:p w14:paraId="5B2FD072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"_Toc225871538" </w:instrText>
      </w:r>
      <w:r>
        <w:fldChar w:fldCharType="separate"/>
      </w:r>
      <w:r>
        <w:rPr>
          <w:rStyle w:val="17"/>
        </w:rPr>
        <w:t>4.6.4</w:t>
      </w:r>
      <w:r>
        <w:rPr>
          <w:rStyle w:val="17"/>
          <w:lang w:eastAsia="en-US"/>
        </w:rPr>
        <w:t xml:space="preserve"> Просмотр заключения по результатам экспертизы</w:t>
      </w:r>
      <w:r>
        <w:tab/>
      </w:r>
      <w:r>
        <w:fldChar w:fldCharType="begin"/>
      </w:r>
      <w:r>
        <w:instrText xml:space="preserve"> PAGEREF _Toc225871538 \h </w:instrText>
      </w:r>
      <w:r>
        <w:fldChar w:fldCharType="separate"/>
      </w:r>
      <w:r>
        <w:t>130</w:t>
      </w:r>
      <w:r>
        <w:fldChar w:fldCharType="end"/>
      </w:r>
      <w:r>
        <w:fldChar w:fldCharType="end"/>
      </w:r>
    </w:p>
    <w:p w14:paraId="545C8206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"_Toc225871539" </w:instrText>
      </w:r>
      <w:r>
        <w:fldChar w:fldCharType="separate"/>
      </w:r>
      <w:r>
        <w:rPr>
          <w:rStyle w:val="17"/>
        </w:rPr>
        <w:t>4.7 Мониторинг плановых и фактических показателей медицинской помощи</w:t>
      </w:r>
      <w:r>
        <w:tab/>
      </w:r>
      <w:r>
        <w:fldChar w:fldCharType="begin"/>
      </w:r>
      <w:r>
        <w:instrText xml:space="preserve"> PAGEREF _Toc225871539 \h </w:instrText>
      </w:r>
      <w:r>
        <w:fldChar w:fldCharType="separate"/>
      </w:r>
      <w:r>
        <w:t>134</w:t>
      </w:r>
      <w:r>
        <w:fldChar w:fldCharType="end"/>
      </w:r>
      <w:r>
        <w:fldChar w:fldCharType="end"/>
      </w:r>
    </w:p>
    <w:p w14:paraId="7BF50D7F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"_Toc225871540" </w:instrText>
      </w:r>
      <w:r>
        <w:fldChar w:fldCharType="separate"/>
      </w:r>
      <w:r>
        <w:rPr>
          <w:rStyle w:val="17"/>
        </w:rPr>
        <w:t>4.7.1 Просмотр годовых плановых объемов медицинской помощи</w:t>
      </w:r>
      <w:r>
        <w:tab/>
      </w:r>
      <w:r>
        <w:fldChar w:fldCharType="begin"/>
      </w:r>
      <w:r>
        <w:instrText xml:space="preserve"> PAGEREF _Toc225871540 \h </w:instrText>
      </w:r>
      <w:r>
        <w:fldChar w:fldCharType="separate"/>
      </w:r>
      <w:r>
        <w:t>134</w:t>
      </w:r>
      <w:r>
        <w:fldChar w:fldCharType="end"/>
      </w:r>
      <w:r>
        <w:fldChar w:fldCharType="end"/>
      </w:r>
    </w:p>
    <w:p w14:paraId="0313C1D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"_Toc225871541" </w:instrText>
      </w:r>
      <w:r>
        <w:fldChar w:fldCharType="separate"/>
      </w:r>
      <w:r>
        <w:rPr>
          <w:rStyle w:val="17"/>
        </w:rPr>
        <w:t>4.7.2 Поквартальное распределение годовых плановых показателей медицинской помощи</w:t>
      </w:r>
      <w:r>
        <w:tab/>
      </w:r>
      <w:r>
        <w:fldChar w:fldCharType="begin"/>
      </w:r>
      <w:r>
        <w:instrText xml:space="preserve"> PAGEREF _Toc225871541 \h </w:instrText>
      </w:r>
      <w:r>
        <w:fldChar w:fldCharType="separate"/>
      </w:r>
      <w:r>
        <w:t>136</w:t>
      </w:r>
      <w:r>
        <w:fldChar w:fldCharType="end"/>
      </w:r>
      <w:r>
        <w:fldChar w:fldCharType="end"/>
      </w:r>
    </w:p>
    <w:p w14:paraId="28011786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"_Toc225871542" </w:instrText>
      </w:r>
      <w:r>
        <w:fldChar w:fldCharType="separate"/>
      </w:r>
      <w:r>
        <w:rPr>
          <w:rStyle w:val="17"/>
        </w:rPr>
        <w:t>4.7.3 Публикация распределенных плановых показателей</w:t>
      </w:r>
      <w:r>
        <w:tab/>
      </w:r>
      <w:r>
        <w:fldChar w:fldCharType="begin"/>
      </w:r>
      <w:r>
        <w:instrText xml:space="preserve"> PAGEREF _Toc225871542 \h </w:instrText>
      </w:r>
      <w:r>
        <w:fldChar w:fldCharType="separate"/>
      </w:r>
      <w:r>
        <w:t>138</w:t>
      </w:r>
      <w:r>
        <w:fldChar w:fldCharType="end"/>
      </w:r>
      <w:r>
        <w:fldChar w:fldCharType="end"/>
      </w:r>
    </w:p>
    <w:p w14:paraId="4CF03A29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"_Toc225871543" </w:instrText>
      </w:r>
      <w:r>
        <w:fldChar w:fldCharType="separate"/>
      </w:r>
      <w:r>
        <w:rPr>
          <w:rStyle w:val="17"/>
        </w:rPr>
        <w:t>4.7.4 Контроль выполнения плановых объемов медицинской помощи</w:t>
      </w:r>
      <w:r>
        <w:tab/>
      </w:r>
      <w:r>
        <w:fldChar w:fldCharType="begin"/>
      </w:r>
      <w:r>
        <w:instrText xml:space="preserve"> PAGEREF _Toc225871543 \h </w:instrText>
      </w:r>
      <w:r>
        <w:fldChar w:fldCharType="separate"/>
      </w:r>
      <w:r>
        <w:t>139</w:t>
      </w:r>
      <w:r>
        <w:fldChar w:fldCharType="end"/>
      </w:r>
      <w:r>
        <w:fldChar w:fldCharType="end"/>
      </w:r>
    </w:p>
    <w:p w14:paraId="36F41681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"_Toc225871544" </w:instrText>
      </w:r>
      <w:r>
        <w:fldChar w:fldCharType="separate"/>
      </w:r>
      <w:r>
        <w:rPr>
          <w:rStyle w:val="17"/>
        </w:rPr>
        <w:t>4.7.5 Мониторинг фактических показателей</w:t>
      </w:r>
      <w:r>
        <w:tab/>
      </w:r>
      <w:r>
        <w:fldChar w:fldCharType="begin"/>
      </w:r>
      <w:r>
        <w:instrText xml:space="preserve"> PAGEREF _Toc225871544 \h </w:instrText>
      </w:r>
      <w:r>
        <w:fldChar w:fldCharType="separate"/>
      </w:r>
      <w:r>
        <w:t>139</w:t>
      </w:r>
      <w:r>
        <w:fldChar w:fldCharType="end"/>
      </w:r>
      <w:r>
        <w:fldChar w:fldCharType="end"/>
      </w:r>
    </w:p>
    <w:p w14:paraId="4D10240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"_Toc225871545" </w:instrText>
      </w:r>
      <w:r>
        <w:fldChar w:fldCharType="separate"/>
      </w:r>
      <w:r>
        <w:rPr>
          <w:rStyle w:val="17"/>
        </w:rPr>
        <w:t>4.7.6 Редактирование квартальных плановых показателей</w:t>
      </w:r>
      <w:r>
        <w:tab/>
      </w:r>
      <w:r>
        <w:fldChar w:fldCharType="begin"/>
      </w:r>
      <w:r>
        <w:instrText xml:space="preserve"> PAGEREF _Toc225871545 \h </w:instrText>
      </w:r>
      <w:r>
        <w:fldChar w:fldCharType="separate"/>
      </w:r>
      <w:r>
        <w:t>141</w:t>
      </w:r>
      <w:r>
        <w:fldChar w:fldCharType="end"/>
      </w:r>
      <w:r>
        <w:fldChar w:fldCharType="end"/>
      </w:r>
    </w:p>
    <w:p w14:paraId="7F425610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"_Toc225871546" </w:instrText>
      </w:r>
      <w:r>
        <w:fldChar w:fldCharType="separate"/>
      </w:r>
      <w:r>
        <w:rPr>
          <w:rStyle w:val="17"/>
        </w:rPr>
        <w:t>4.7.7 Просмотр отчетов</w:t>
      </w:r>
      <w:r>
        <w:tab/>
      </w:r>
      <w:r>
        <w:fldChar w:fldCharType="begin"/>
      </w:r>
      <w:r>
        <w:instrText xml:space="preserve"> PAGEREF _Toc225871546 \h </w:instrText>
      </w:r>
      <w:r>
        <w:fldChar w:fldCharType="separate"/>
      </w:r>
      <w:r>
        <w:t>142</w:t>
      </w:r>
      <w:r>
        <w:fldChar w:fldCharType="end"/>
      </w:r>
      <w:r>
        <w:fldChar w:fldCharType="end"/>
      </w:r>
    </w:p>
    <w:p w14:paraId="2EEC8EE3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"_Toc225871547" </w:instrText>
      </w:r>
      <w:r>
        <w:fldChar w:fldCharType="separate"/>
      </w:r>
      <w:r>
        <w:rPr>
          <w:rStyle w:val="17"/>
        </w:rPr>
        <w:t>4.8 Учет доступности коечного фонда</w:t>
      </w:r>
      <w:r>
        <w:tab/>
      </w:r>
      <w:r>
        <w:fldChar w:fldCharType="begin"/>
      </w:r>
      <w:r>
        <w:instrText xml:space="preserve"> PAGEREF _Toc225871547 \h </w:instrText>
      </w:r>
      <w:r>
        <w:fldChar w:fldCharType="separate"/>
      </w:r>
      <w:r>
        <w:t>142</w:t>
      </w:r>
      <w:r>
        <w:fldChar w:fldCharType="end"/>
      </w:r>
      <w:r>
        <w:fldChar w:fldCharType="end"/>
      </w:r>
    </w:p>
    <w:p w14:paraId="443263AB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"_Toc225871548" </w:instrText>
      </w:r>
      <w:r>
        <w:fldChar w:fldCharType="separate"/>
      </w:r>
      <w:r>
        <w:rPr>
          <w:rStyle w:val="17"/>
        </w:rPr>
        <w:t>4.8.1 Просмотр данных коечного фонда в графическом виде</w:t>
      </w:r>
      <w:r>
        <w:tab/>
      </w:r>
      <w:r>
        <w:fldChar w:fldCharType="begin"/>
      </w:r>
      <w:r>
        <w:instrText xml:space="preserve"> PAGEREF _Toc225871548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5C2682B7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"_Toc225871549" </w:instrText>
      </w:r>
      <w:r>
        <w:fldChar w:fldCharType="separate"/>
      </w:r>
      <w:r>
        <w:rPr>
          <w:rStyle w:val="17"/>
        </w:rPr>
        <w:t>4.8.2 Просмотр сведений об обороте коечного фонда за период</w:t>
      </w:r>
      <w:r>
        <w:tab/>
      </w:r>
      <w:r>
        <w:fldChar w:fldCharType="begin"/>
      </w:r>
      <w:r>
        <w:instrText xml:space="preserve"> PAGEREF _Toc225871549 \h </w:instrText>
      </w:r>
      <w:r>
        <w:fldChar w:fldCharType="separate"/>
      </w:r>
      <w:r>
        <w:t>155</w:t>
      </w:r>
      <w:r>
        <w:fldChar w:fldCharType="end"/>
      </w:r>
      <w:r>
        <w:fldChar w:fldCharType="end"/>
      </w:r>
    </w:p>
    <w:p w14:paraId="4C71A06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"_Toc225871550" </w:instrText>
      </w:r>
      <w:r>
        <w:fldChar w:fldCharType="separate"/>
      </w:r>
      <w:r>
        <w:rPr>
          <w:rStyle w:val="17"/>
        </w:rPr>
        <w:t>4.8.3 Просмотр сведений по учету коечного фонда на заданную дату</w:t>
      </w:r>
      <w:r>
        <w:tab/>
      </w:r>
      <w:r>
        <w:fldChar w:fldCharType="begin"/>
      </w:r>
      <w:r>
        <w:instrText xml:space="preserve"> PAGEREF _Toc225871550 \h </w:instrText>
      </w:r>
      <w:r>
        <w:fldChar w:fldCharType="separate"/>
      </w:r>
      <w:r>
        <w:t>161</w:t>
      </w:r>
      <w:r>
        <w:fldChar w:fldCharType="end"/>
      </w:r>
      <w:r>
        <w:fldChar w:fldCharType="end"/>
      </w:r>
    </w:p>
    <w:p w14:paraId="3E22E41C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"_Toc225871551" </w:instrText>
      </w:r>
      <w:r>
        <w:fldChar w:fldCharType="separate"/>
      </w:r>
      <w:r>
        <w:rPr>
          <w:rStyle w:val="17"/>
        </w:rPr>
        <w:t>4.8.4 Формирование отчета о доступности коечного фонда</w:t>
      </w:r>
      <w:r>
        <w:tab/>
      </w:r>
      <w:r>
        <w:fldChar w:fldCharType="begin"/>
      </w:r>
      <w:r>
        <w:instrText xml:space="preserve"> PAGEREF _Toc225871551 \h </w:instrText>
      </w:r>
      <w:r>
        <w:fldChar w:fldCharType="separate"/>
      </w:r>
      <w:r>
        <w:t>165</w:t>
      </w:r>
      <w:r>
        <w:fldChar w:fldCharType="end"/>
      </w:r>
      <w:r>
        <w:fldChar w:fldCharType="end"/>
      </w:r>
    </w:p>
    <w:p w14:paraId="5B95E076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"_Toc225871552" </w:instrText>
      </w:r>
      <w:r>
        <w:fldChar w:fldCharType="separate"/>
      </w:r>
      <w:r>
        <w:rPr>
          <w:rStyle w:val="17"/>
        </w:rPr>
        <w:t>4.8.5 Для формирования отчета о доступности коечного фонда МО в ОМС на текущую дату в разрезе ОМС выбрать в панели фильтрации режим «В ОМС». Просмотр сведений по планируемым показателям свободных мест</w:t>
      </w:r>
      <w:r>
        <w:tab/>
      </w:r>
      <w:r>
        <w:fldChar w:fldCharType="begin"/>
      </w:r>
      <w:r>
        <w:instrText xml:space="preserve"> PAGEREF _Toc225871552 \h </w:instrText>
      </w:r>
      <w:r>
        <w:fldChar w:fldCharType="separate"/>
      </w:r>
      <w:r>
        <w:t>167</w:t>
      </w:r>
      <w:r>
        <w:fldChar w:fldCharType="end"/>
      </w:r>
      <w:r>
        <w:fldChar w:fldCharType="end"/>
      </w:r>
    </w:p>
    <w:p w14:paraId="1FD0E3FD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"_Toc225871553" </w:instrText>
      </w:r>
      <w:r>
        <w:fldChar w:fldCharType="separate"/>
      </w:r>
      <w:r>
        <w:rPr>
          <w:rStyle w:val="17"/>
        </w:rPr>
        <w:t>4.9 Просмотр сведений организационно-штатной структуры по данным ФРМО и ФРМР</w:t>
      </w:r>
      <w:r>
        <w:tab/>
      </w:r>
      <w:r>
        <w:fldChar w:fldCharType="begin"/>
      </w:r>
      <w:r>
        <w:instrText xml:space="preserve"> PAGEREF _Toc225871553 \h </w:instrText>
      </w:r>
      <w:r>
        <w:fldChar w:fldCharType="separate"/>
      </w:r>
      <w:r>
        <w:t>171</w:t>
      </w:r>
      <w:r>
        <w:fldChar w:fldCharType="end"/>
      </w:r>
      <w:r>
        <w:fldChar w:fldCharType="end"/>
      </w:r>
    </w:p>
    <w:p w14:paraId="2BC7219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"_Toc225871554" </w:instrText>
      </w:r>
      <w:r>
        <w:fldChar w:fldCharType="separate"/>
      </w:r>
      <w:r>
        <w:rPr>
          <w:rStyle w:val="17"/>
        </w:rPr>
        <w:t>4.9.1 Актуализация сведений об ОШС в ФРМО и ФРМР</w:t>
      </w:r>
      <w:r>
        <w:tab/>
      </w:r>
      <w:r>
        <w:fldChar w:fldCharType="begin"/>
      </w:r>
      <w:r>
        <w:instrText xml:space="preserve"> PAGEREF _Toc225871554 \h </w:instrText>
      </w:r>
      <w:r>
        <w:fldChar w:fldCharType="separate"/>
      </w:r>
      <w:r>
        <w:t>171</w:t>
      </w:r>
      <w:r>
        <w:fldChar w:fldCharType="end"/>
      </w:r>
      <w:r>
        <w:fldChar w:fldCharType="end"/>
      </w:r>
    </w:p>
    <w:p w14:paraId="115FD4E1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"_Toc225871555" </w:instrText>
      </w:r>
      <w:r>
        <w:fldChar w:fldCharType="separate"/>
      </w:r>
      <w:r>
        <w:rPr>
          <w:rStyle w:val="17"/>
        </w:rPr>
        <w:t>4.9.2 Просмотр сведений о медицинской организации и медицинских работниках</w:t>
      </w:r>
      <w:r>
        <w:tab/>
      </w:r>
      <w:r>
        <w:fldChar w:fldCharType="begin"/>
      </w:r>
      <w:r>
        <w:instrText xml:space="preserve"> PAGEREF _Toc225871555 \h </w:instrText>
      </w:r>
      <w:r>
        <w:fldChar w:fldCharType="separate"/>
      </w:r>
      <w:r>
        <w:t>172</w:t>
      </w:r>
      <w:r>
        <w:fldChar w:fldCharType="end"/>
      </w:r>
      <w:r>
        <w:fldChar w:fldCharType="end"/>
      </w:r>
    </w:p>
    <w:p w14:paraId="2476725D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"_Toc225871556" </w:instrText>
      </w:r>
      <w:r>
        <w:fldChar w:fldCharType="separate"/>
      </w:r>
      <w:r>
        <w:rPr>
          <w:rStyle w:val="17"/>
          <w:lang w:eastAsia="en-US"/>
        </w:rPr>
        <w:t>4.9.3 Просмотр сведений медицинской организации</w:t>
      </w:r>
      <w:r>
        <w:tab/>
      </w:r>
      <w:r>
        <w:fldChar w:fldCharType="begin"/>
      </w:r>
      <w:r>
        <w:instrText xml:space="preserve"> PAGEREF _Toc225871556 \h </w:instrText>
      </w:r>
      <w:r>
        <w:fldChar w:fldCharType="separate"/>
      </w:r>
      <w:r>
        <w:t>173</w:t>
      </w:r>
      <w:r>
        <w:fldChar w:fldCharType="end"/>
      </w:r>
      <w:r>
        <w:fldChar w:fldCharType="end"/>
      </w:r>
    </w:p>
    <w:p w14:paraId="6F0E1D38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"_Toc225871557" </w:instrText>
      </w:r>
      <w:r>
        <w:fldChar w:fldCharType="separate"/>
      </w:r>
      <w:r>
        <w:rPr>
          <w:rStyle w:val="17"/>
        </w:rPr>
        <w:t>4.9.4 Просмотр сведений о структурных подразделениях</w:t>
      </w:r>
      <w:r>
        <w:tab/>
      </w:r>
      <w:r>
        <w:fldChar w:fldCharType="begin"/>
      </w:r>
      <w:r>
        <w:instrText xml:space="preserve"> PAGEREF _Toc225871557 \h </w:instrText>
      </w:r>
      <w:r>
        <w:fldChar w:fldCharType="separate"/>
      </w:r>
      <w:r>
        <w:t>174</w:t>
      </w:r>
      <w:r>
        <w:fldChar w:fldCharType="end"/>
      </w:r>
      <w:r>
        <w:fldChar w:fldCharType="end"/>
      </w:r>
    </w:p>
    <w:p w14:paraId="0B83D978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"_Toc225871558" </w:instrText>
      </w:r>
      <w:r>
        <w:fldChar w:fldCharType="separate"/>
      </w:r>
      <w:r>
        <w:rPr>
          <w:rStyle w:val="17"/>
        </w:rPr>
        <w:t>4.9.5 Просмотр сведений об отделениях и кабинетах</w:t>
      </w:r>
      <w:r>
        <w:tab/>
      </w:r>
      <w:r>
        <w:fldChar w:fldCharType="begin"/>
      </w:r>
      <w:r>
        <w:instrText xml:space="preserve"> PAGEREF _Toc225871558 \h </w:instrText>
      </w:r>
      <w:r>
        <w:fldChar w:fldCharType="separate"/>
      </w:r>
      <w:r>
        <w:t>175</w:t>
      </w:r>
      <w:r>
        <w:fldChar w:fldCharType="end"/>
      </w:r>
      <w:r>
        <w:fldChar w:fldCharType="end"/>
      </w:r>
    </w:p>
    <w:p w14:paraId="5C3A8844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"_Toc225871559" </w:instrText>
      </w:r>
      <w:r>
        <w:fldChar w:fldCharType="separate"/>
      </w:r>
      <w:r>
        <w:rPr>
          <w:rStyle w:val="17"/>
        </w:rPr>
        <w:t>4.9.6 Просмотр сведений о занятости медицинских работниках</w:t>
      </w:r>
      <w:r>
        <w:tab/>
      </w:r>
      <w:r>
        <w:fldChar w:fldCharType="begin"/>
      </w:r>
      <w:r>
        <w:instrText xml:space="preserve"> PAGEREF _Toc225871559 \h </w:instrText>
      </w:r>
      <w:r>
        <w:fldChar w:fldCharType="separate"/>
      </w:r>
      <w:r>
        <w:t>176</w:t>
      </w:r>
      <w:r>
        <w:fldChar w:fldCharType="end"/>
      </w:r>
      <w:r>
        <w:fldChar w:fldCharType="end"/>
      </w:r>
    </w:p>
    <w:p w14:paraId="4C8A70F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"_Toc225871560" </w:instrText>
      </w:r>
      <w:r>
        <w:fldChar w:fldCharType="separate"/>
      </w:r>
      <w:r>
        <w:rPr>
          <w:rStyle w:val="17"/>
        </w:rPr>
        <w:t>4.10 Формирование и просмотр отчетов «План-факт» и «Факт за месяц»</w:t>
      </w:r>
      <w:r>
        <w:tab/>
      </w:r>
      <w:r>
        <w:fldChar w:fldCharType="begin"/>
      </w:r>
      <w:r>
        <w:instrText xml:space="preserve"> PAGEREF _Toc225871560 \h </w:instrText>
      </w:r>
      <w:r>
        <w:fldChar w:fldCharType="separate"/>
      </w:r>
      <w:r>
        <w:t>180</w:t>
      </w:r>
      <w:r>
        <w:fldChar w:fldCharType="end"/>
      </w:r>
      <w:r>
        <w:fldChar w:fldCharType="end"/>
      </w:r>
    </w:p>
    <w:p w14:paraId="761CB2E1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"_Toc225871561" </w:instrText>
      </w:r>
      <w:r>
        <w:fldChar w:fldCharType="separate"/>
      </w:r>
      <w:r>
        <w:rPr>
          <w:rStyle w:val="17"/>
        </w:rPr>
        <w:t>4.10.1 Просмотр отчетов</w:t>
      </w:r>
      <w:r>
        <w:tab/>
      </w:r>
      <w:r>
        <w:fldChar w:fldCharType="begin"/>
      </w:r>
      <w:r>
        <w:instrText xml:space="preserve"> PAGEREF _Toc225871561 \h </w:instrText>
      </w:r>
      <w:r>
        <w:fldChar w:fldCharType="separate"/>
      </w:r>
      <w:r>
        <w:t>181</w:t>
      </w:r>
      <w:r>
        <w:fldChar w:fldCharType="end"/>
      </w:r>
      <w:r>
        <w:fldChar w:fldCharType="end"/>
      </w:r>
    </w:p>
    <w:p w14:paraId="46076B4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"_Toc225871562" </w:instrText>
      </w:r>
      <w:r>
        <w:fldChar w:fldCharType="separate"/>
      </w:r>
      <w:r>
        <w:rPr>
          <w:rStyle w:val="17"/>
        </w:rPr>
        <w:t>4.10.2 Формирование отчетов</w:t>
      </w:r>
      <w:r>
        <w:tab/>
      </w:r>
      <w:r>
        <w:fldChar w:fldCharType="begin"/>
      </w:r>
      <w:r>
        <w:instrText xml:space="preserve"> PAGEREF _Toc225871562 \h </w:instrText>
      </w:r>
      <w:r>
        <w:fldChar w:fldCharType="separate"/>
      </w:r>
      <w:r>
        <w:t>181</w:t>
      </w:r>
      <w:r>
        <w:fldChar w:fldCharType="end"/>
      </w:r>
      <w:r>
        <w:fldChar w:fldCharType="end"/>
      </w:r>
    </w:p>
    <w:p w14:paraId="25AC7C0F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"_Toc225871563" </w:instrText>
      </w:r>
      <w:r>
        <w:fldChar w:fldCharType="separate"/>
      </w:r>
      <w:r>
        <w:rPr>
          <w:rStyle w:val="17"/>
        </w:rPr>
        <w:t>5 Аварийные ситуации</w:t>
      </w:r>
      <w:r>
        <w:tab/>
      </w:r>
      <w:r>
        <w:fldChar w:fldCharType="begin"/>
      </w:r>
      <w:r>
        <w:instrText xml:space="preserve"> PAGEREF _Toc225871563 \h </w:instrText>
      </w:r>
      <w:r>
        <w:fldChar w:fldCharType="separate"/>
      </w:r>
      <w:r>
        <w:t>183</w:t>
      </w:r>
      <w:r>
        <w:fldChar w:fldCharType="end"/>
      </w:r>
      <w:r>
        <w:fldChar w:fldCharType="end"/>
      </w:r>
    </w:p>
    <w:p w14:paraId="6520146D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"_Toc225871564" </w:instrText>
      </w:r>
      <w:r>
        <w:fldChar w:fldCharType="separate"/>
      </w:r>
      <w:r>
        <w:rPr>
          <w:rStyle w:val="17"/>
        </w:rPr>
        <w:t>5.1 Сообщения, выдаваемые подсистемой</w:t>
      </w:r>
      <w:r>
        <w:tab/>
      </w:r>
      <w:r>
        <w:fldChar w:fldCharType="begin"/>
      </w:r>
      <w:r>
        <w:instrText xml:space="preserve"> PAGEREF _Toc225871564 \h </w:instrText>
      </w:r>
      <w:r>
        <w:fldChar w:fldCharType="separate"/>
      </w:r>
      <w:r>
        <w:t>183</w:t>
      </w:r>
      <w:r>
        <w:fldChar w:fldCharType="end"/>
      </w:r>
      <w:r>
        <w:fldChar w:fldCharType="end"/>
      </w:r>
    </w:p>
    <w:p w14:paraId="1ABC96A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"_Toc225871565" </w:instrText>
      </w:r>
      <w:r>
        <w:fldChar w:fldCharType="separate"/>
      </w:r>
      <w:r>
        <w:rPr>
          <w:rStyle w:val="17"/>
        </w:rPr>
        <w:t>5.2 Отсутствие соединения с ЗСПД</w:t>
      </w:r>
      <w:r>
        <w:tab/>
      </w:r>
      <w:r>
        <w:fldChar w:fldCharType="begin"/>
      </w:r>
      <w:r>
        <w:instrText xml:space="preserve"> PAGEREF _Toc225871565 \h </w:instrText>
      </w:r>
      <w:r>
        <w:fldChar w:fldCharType="separate"/>
      </w:r>
      <w:r>
        <w:t>183</w:t>
      </w:r>
      <w:r>
        <w:fldChar w:fldCharType="end"/>
      </w:r>
      <w:r>
        <w:fldChar w:fldCharType="end"/>
      </w:r>
    </w:p>
    <w:p w14:paraId="4FEC6493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"_Toc225871566" </w:instrText>
      </w:r>
      <w:r>
        <w:fldChar w:fldCharType="separate"/>
      </w:r>
      <w:r>
        <w:rPr>
          <w:rStyle w:val="17"/>
        </w:rPr>
        <w:t>5.3 Отказ при входе в подсистему</w:t>
      </w:r>
      <w:r>
        <w:tab/>
      </w:r>
      <w:r>
        <w:fldChar w:fldCharType="begin"/>
      </w:r>
      <w:r>
        <w:instrText xml:space="preserve"> PAGEREF _Toc225871566 \h </w:instrText>
      </w:r>
      <w:r>
        <w:fldChar w:fldCharType="separate"/>
      </w:r>
      <w:r>
        <w:t>184</w:t>
      </w:r>
      <w:r>
        <w:fldChar w:fldCharType="end"/>
      </w:r>
      <w:r>
        <w:fldChar w:fldCharType="end"/>
      </w:r>
    </w:p>
    <w:p w14:paraId="3ADB486C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"_Toc225871567" </w:instrText>
      </w:r>
      <w:r>
        <w:fldChar w:fldCharType="separate"/>
      </w:r>
      <w:r>
        <w:rPr>
          <w:rStyle w:val="17"/>
        </w:rPr>
        <w:t>5.4 Прерывание сессии связи</w:t>
      </w:r>
      <w:r>
        <w:tab/>
      </w:r>
      <w:r>
        <w:fldChar w:fldCharType="begin"/>
      </w:r>
      <w:r>
        <w:instrText xml:space="preserve"> PAGEREF _Toc225871567 \h </w:instrText>
      </w:r>
      <w:r>
        <w:fldChar w:fldCharType="separate"/>
      </w:r>
      <w:r>
        <w:t>184</w:t>
      </w:r>
      <w:r>
        <w:fldChar w:fldCharType="end"/>
      </w:r>
      <w:r>
        <w:fldChar w:fldCharType="end"/>
      </w:r>
    </w:p>
    <w:p w14:paraId="09763C17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"_Toc225871568" </w:instrText>
      </w:r>
      <w:r>
        <w:fldChar w:fldCharType="separate"/>
      </w:r>
      <w:r>
        <w:rPr>
          <w:rStyle w:val="17"/>
        </w:rPr>
        <w:t>5.5 Отказ АРМ пользователя</w:t>
      </w:r>
      <w:r>
        <w:tab/>
      </w:r>
      <w:r>
        <w:fldChar w:fldCharType="begin"/>
      </w:r>
      <w:r>
        <w:instrText xml:space="preserve"> PAGEREF _Toc225871568 \h </w:instrText>
      </w:r>
      <w:r>
        <w:fldChar w:fldCharType="separate"/>
      </w:r>
      <w:r>
        <w:t>184</w:t>
      </w:r>
      <w:r>
        <w:fldChar w:fldCharType="end"/>
      </w:r>
      <w:r>
        <w:fldChar w:fldCharType="end"/>
      </w:r>
    </w:p>
    <w:p w14:paraId="17EC0491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"_Toc225871569" </w:instrText>
      </w:r>
      <w:r>
        <w:fldChar w:fldCharType="separate"/>
      </w:r>
      <w:r>
        <w:rPr>
          <w:rStyle w:val="17"/>
        </w:rPr>
        <w:t>5.6 Сбой функционирования веб-браузера</w:t>
      </w:r>
      <w:r>
        <w:tab/>
      </w:r>
      <w:r>
        <w:fldChar w:fldCharType="begin"/>
      </w:r>
      <w:r>
        <w:instrText xml:space="preserve"> PAGEREF _Toc225871569 \h </w:instrText>
      </w:r>
      <w:r>
        <w:fldChar w:fldCharType="separate"/>
      </w:r>
      <w:r>
        <w:t>185</w:t>
      </w:r>
      <w:r>
        <w:fldChar w:fldCharType="end"/>
      </w:r>
      <w:r>
        <w:fldChar w:fldCharType="end"/>
      </w:r>
    </w:p>
    <w:p w14:paraId="5477E9B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"_Toc225871570" </w:instrText>
      </w:r>
      <w:r>
        <w:fldChar w:fldCharType="separate"/>
      </w:r>
      <w:r>
        <w:rPr>
          <w:rStyle w:val="17"/>
        </w:rPr>
        <w:t>5.7 Потеря данных подсистемы</w:t>
      </w:r>
      <w:r>
        <w:tab/>
      </w:r>
      <w:r>
        <w:fldChar w:fldCharType="begin"/>
      </w:r>
      <w:r>
        <w:instrText xml:space="preserve"> PAGEREF _Toc225871570 \h </w:instrText>
      </w:r>
      <w:r>
        <w:fldChar w:fldCharType="separate"/>
      </w:r>
      <w:r>
        <w:t>185</w:t>
      </w:r>
      <w:r>
        <w:fldChar w:fldCharType="end"/>
      </w:r>
      <w:r>
        <w:fldChar w:fldCharType="end"/>
      </w:r>
    </w:p>
    <w:p w14:paraId="174E16C8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"_Toc225871571" </w:instrText>
      </w:r>
      <w:r>
        <w:fldChar w:fldCharType="separate"/>
      </w:r>
      <w:r>
        <w:rPr>
          <w:rStyle w:val="17"/>
        </w:rPr>
        <w:t>5.8 Действия в случаях обнаружения несанкционированного доступа к данным</w:t>
      </w:r>
      <w:r>
        <w:tab/>
      </w:r>
      <w:r>
        <w:fldChar w:fldCharType="begin"/>
      </w:r>
      <w:r>
        <w:instrText xml:space="preserve"> PAGEREF _Toc225871571 \h </w:instrText>
      </w:r>
      <w:r>
        <w:fldChar w:fldCharType="separate"/>
      </w:r>
      <w:r>
        <w:t>185</w:t>
      </w:r>
      <w:r>
        <w:fldChar w:fldCharType="end"/>
      </w:r>
      <w:r>
        <w:fldChar w:fldCharType="end"/>
      </w:r>
    </w:p>
    <w:p w14:paraId="29CCAF74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"_Toc225871572" </w:instrText>
      </w:r>
      <w:r>
        <w:fldChar w:fldCharType="separate"/>
      </w:r>
      <w:r>
        <w:rPr>
          <w:rStyle w:val="17"/>
        </w:rPr>
        <w:t>5.9 Другие аварийные ситуации</w:t>
      </w:r>
      <w:r>
        <w:tab/>
      </w:r>
      <w:r>
        <w:fldChar w:fldCharType="begin"/>
      </w:r>
      <w:r>
        <w:instrText xml:space="preserve"> PAGEREF _Toc225871572 \h </w:instrText>
      </w:r>
      <w:r>
        <w:fldChar w:fldCharType="separate"/>
      </w:r>
      <w:r>
        <w:t>186</w:t>
      </w:r>
      <w:r>
        <w:fldChar w:fldCharType="end"/>
      </w:r>
      <w:r>
        <w:fldChar w:fldCharType="end"/>
      </w:r>
    </w:p>
    <w:p w14:paraId="2C73C2D8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"_Toc225871573" </w:instrText>
      </w:r>
      <w:r>
        <w:fldChar w:fldCharType="separate"/>
      </w:r>
      <w:r>
        <w:rPr>
          <w:rStyle w:val="17"/>
        </w:rPr>
        <w:t>6 Рекомендации по освоению</w:t>
      </w:r>
      <w:r>
        <w:tab/>
      </w:r>
      <w:r>
        <w:fldChar w:fldCharType="begin"/>
      </w:r>
      <w:r>
        <w:instrText xml:space="preserve"> PAGEREF _Toc225871573 \h </w:instrText>
      </w:r>
      <w:r>
        <w:fldChar w:fldCharType="separate"/>
      </w:r>
      <w:r>
        <w:t>187</w:t>
      </w:r>
      <w:r>
        <w:fldChar w:fldCharType="end"/>
      </w:r>
      <w:r>
        <w:fldChar w:fldCharType="end"/>
      </w:r>
    </w:p>
    <w:p w14:paraId="700699CE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"_Toc225871574" </w:instrText>
      </w:r>
      <w:r>
        <w:fldChar w:fldCharType="separate"/>
      </w:r>
      <w:r>
        <w:rPr>
          <w:rStyle w:val="17"/>
        </w:rPr>
        <w:t>6.1 Контрольный пример</w:t>
      </w:r>
      <w:r>
        <w:tab/>
      </w:r>
      <w:r>
        <w:fldChar w:fldCharType="begin"/>
      </w:r>
      <w:r>
        <w:instrText xml:space="preserve"> PAGEREF _Toc225871574 \h </w:instrText>
      </w:r>
      <w:r>
        <w:fldChar w:fldCharType="separate"/>
      </w:r>
      <w:r>
        <w:t>187</w:t>
      </w:r>
      <w:r>
        <w:fldChar w:fldCharType="end"/>
      </w:r>
      <w:r>
        <w:fldChar w:fldCharType="end"/>
      </w:r>
    </w:p>
    <w:p w14:paraId="48475CA9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"_Toc225871575" </w:instrText>
      </w:r>
      <w:r>
        <w:fldChar w:fldCharType="separate"/>
      </w:r>
      <w:r>
        <w:rPr>
          <w:rStyle w:val="17"/>
        </w:rPr>
        <w:t>7 Порядок обращения в службу технической поддержи</w:t>
      </w:r>
      <w:r>
        <w:tab/>
      </w:r>
      <w:r>
        <w:fldChar w:fldCharType="begin"/>
      </w:r>
      <w:r>
        <w:instrText xml:space="preserve"> PAGEREF _Toc225871575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74BA9DBA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"_Toc225871576" </w:instrText>
      </w:r>
      <w:r>
        <w:fldChar w:fldCharType="separate"/>
      </w:r>
      <w:r>
        <w:rPr>
          <w:rStyle w:val="17"/>
        </w:rPr>
        <w:t>7.1 Средства обращения в службу технической поддержи</w:t>
      </w:r>
      <w:r>
        <w:tab/>
      </w:r>
      <w:r>
        <w:fldChar w:fldCharType="begin"/>
      </w:r>
      <w:r>
        <w:instrText xml:space="preserve"> PAGEREF _Toc225871576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3641DCB6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"_Toc225871577" </w:instrText>
      </w:r>
      <w:r>
        <w:fldChar w:fldCharType="separate"/>
      </w:r>
      <w:r>
        <w:rPr>
          <w:rStyle w:val="17"/>
        </w:rPr>
        <w:t>7.2 Направление обращения с использованием СУЗ</w:t>
      </w:r>
      <w:r>
        <w:tab/>
      </w:r>
      <w:r>
        <w:fldChar w:fldCharType="begin"/>
      </w:r>
      <w:r>
        <w:instrText xml:space="preserve"> PAGEREF _Toc225871577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17BCFA93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"_Toc225871578" </w:instrText>
      </w:r>
      <w:r>
        <w:fldChar w:fldCharType="separate"/>
      </w:r>
      <w:r>
        <w:rPr>
          <w:rStyle w:val="17"/>
        </w:rPr>
        <w:t>7.2.1 Вход в СУЗ</w:t>
      </w:r>
      <w:r>
        <w:tab/>
      </w:r>
      <w:r>
        <w:fldChar w:fldCharType="begin"/>
      </w:r>
      <w:r>
        <w:instrText xml:space="preserve"> PAGEREF _Toc225871578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47E5A5AE">
      <w:pPr>
        <w:pStyle w:val="28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"_Toc225871579" </w:instrText>
      </w:r>
      <w:r>
        <w:fldChar w:fldCharType="separate"/>
      </w:r>
      <w:r>
        <w:rPr>
          <w:rStyle w:val="17"/>
        </w:rPr>
        <w:t>7.2.2 Создание нового обращения (заявки)</w:t>
      </w:r>
      <w:r>
        <w:tab/>
      </w:r>
      <w:r>
        <w:fldChar w:fldCharType="begin"/>
      </w:r>
      <w:r>
        <w:instrText xml:space="preserve"> PAGEREF _Toc225871579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5011DA9A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"_Toc225871580" </w:instrText>
      </w:r>
      <w:r>
        <w:fldChar w:fldCharType="separate"/>
      </w:r>
      <w:r>
        <w:rPr>
          <w:rStyle w:val="17"/>
        </w:rPr>
        <w:t>7.3 Соблюдение этических норм</w:t>
      </w:r>
      <w:r>
        <w:tab/>
      </w:r>
      <w:r>
        <w:fldChar w:fldCharType="begin"/>
      </w:r>
      <w:r>
        <w:instrText xml:space="preserve"> PAGEREF _Toc225871580 \h </w:instrText>
      </w:r>
      <w:r>
        <w:fldChar w:fldCharType="separate"/>
      </w:r>
      <w:r>
        <w:t>190</w:t>
      </w:r>
      <w:r>
        <w:fldChar w:fldCharType="end"/>
      </w:r>
      <w:r>
        <w:fldChar w:fldCharType="end"/>
      </w:r>
    </w:p>
    <w:p w14:paraId="57FC3058">
      <w:pPr>
        <w:pStyle w:val="30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"_Toc225871581" </w:instrText>
      </w:r>
      <w:r>
        <w:fldChar w:fldCharType="separate"/>
      </w:r>
      <w:r>
        <w:rPr>
          <w:rStyle w:val="17"/>
          <w14:scene3d w14:prst="orthographicFront">
            <w14:lightRig w14:rig="threePt" w14:dir="t">
              <w14:rot w14:lat="0" w14:lon="0" w14:rev="0"/>
            </w14:lightRig>
          </w14:scene3d>
        </w:rPr>
        <w:t>Приложение А</w:t>
      </w:r>
      <w:r>
        <w:rPr>
          <w:rStyle w:val="17"/>
        </w:rPr>
        <w:t xml:space="preserve"> (справочное) Статусы СЭФД</w:t>
      </w:r>
      <w:r>
        <w:tab/>
      </w:r>
      <w:r>
        <w:fldChar w:fldCharType="begin"/>
      </w:r>
      <w:r>
        <w:instrText xml:space="preserve"> PAGEREF _Toc225871581 \h </w:instrText>
      </w:r>
      <w:r>
        <w:fldChar w:fldCharType="separate"/>
      </w:r>
      <w:r>
        <w:t>191</w:t>
      </w:r>
      <w:r>
        <w:fldChar w:fldCharType="end"/>
      </w:r>
      <w:r>
        <w:fldChar w:fldCharType="end"/>
      </w:r>
    </w:p>
    <w:p w14:paraId="00D7771D">
      <w:pPr>
        <w:pStyle w:val="30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"_Toc225871582" </w:instrText>
      </w:r>
      <w:r>
        <w:fldChar w:fldCharType="separate"/>
      </w:r>
      <w:r>
        <w:rPr>
          <w:rStyle w:val="17"/>
          <w14:scene3d w14:prst="orthographicFront">
            <w14:lightRig w14:rig="threePt" w14:dir="t">
              <w14:rot w14:lat="0" w14:lon="0" w14:rev="0"/>
            </w14:lightRig>
          </w14:scene3d>
        </w:rPr>
        <w:t>Приложение Б</w:t>
      </w:r>
      <w:r>
        <w:rPr>
          <w:rStyle w:val="17"/>
        </w:rPr>
        <w:t xml:space="preserve"> (справочное) Типы счетов</w:t>
      </w:r>
      <w:r>
        <w:tab/>
      </w:r>
      <w:r>
        <w:fldChar w:fldCharType="begin"/>
      </w:r>
      <w:r>
        <w:instrText xml:space="preserve"> PAGEREF _Toc225871582 \h </w:instrText>
      </w:r>
      <w:r>
        <w:fldChar w:fldCharType="separate"/>
      </w:r>
      <w:r>
        <w:t>192</w:t>
      </w:r>
      <w:r>
        <w:fldChar w:fldCharType="end"/>
      </w:r>
      <w:r>
        <w:fldChar w:fldCharType="end"/>
      </w:r>
    </w:p>
    <w:p w14:paraId="65015086">
      <w:pPr>
        <w:pStyle w:val="26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"_Toc225871583" </w:instrText>
      </w:r>
      <w:r>
        <w:fldChar w:fldCharType="separate"/>
      </w:r>
      <w:r>
        <w:rPr>
          <w:rStyle w:val="17"/>
          <w14:scene3d w14:prst="orthographicFront">
            <w14:lightRig w14:rig="threePt" w14:dir="t">
              <w14:rot w14:lat="0" w14:lon="0" w14:rev="0"/>
            </w14:lightRig>
          </w14:scene3d>
        </w:rPr>
        <w:t>Приложение В</w:t>
      </w:r>
      <w:r>
        <w:rPr>
          <w:rStyle w:val="17"/>
        </w:rPr>
        <w:t xml:space="preserve"> (справочное) Просмотр файлов формата </w:t>
      </w:r>
      <w:r>
        <w:rPr>
          <w:rStyle w:val="17"/>
          <w:lang w:val="en-US"/>
        </w:rPr>
        <w:t>XML</w:t>
      </w:r>
      <w:r>
        <w:rPr>
          <w:rStyle w:val="17"/>
        </w:rPr>
        <w:t xml:space="preserve"> и </w:t>
      </w:r>
      <w:r>
        <w:rPr>
          <w:rStyle w:val="17"/>
          <w:lang w:val="en-US"/>
        </w:rPr>
        <w:t>CSV</w:t>
      </w:r>
      <w:r>
        <w:tab/>
      </w:r>
      <w:r>
        <w:fldChar w:fldCharType="begin"/>
      </w:r>
      <w:r>
        <w:instrText xml:space="preserve"> PAGEREF _Toc225871583 \h </w:instrText>
      </w:r>
      <w:r>
        <w:fldChar w:fldCharType="separate"/>
      </w:r>
      <w:r>
        <w:t>193</w:t>
      </w:r>
      <w:r>
        <w:fldChar w:fldCharType="end"/>
      </w:r>
      <w:r>
        <w:fldChar w:fldCharType="end"/>
      </w:r>
    </w:p>
    <w:p w14:paraId="7E7B1F56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"_Toc225871584" </w:instrText>
      </w:r>
      <w:r>
        <w:fldChar w:fldCharType="separate"/>
      </w:r>
      <w:r>
        <w:rPr>
          <w:rStyle w:val="17"/>
          <w14:scene3d w14:prst="orthographicFront">
            <w14:lightRig w14:rig="threePt" w14:dir="t">
              <w14:rot w14:lat="0" w14:lon="0" w14:rev="0"/>
            </w14:lightRig>
          </w14:scene3d>
        </w:rPr>
        <w:t>В.1</w:t>
      </w:r>
      <w:r>
        <w:rPr>
          <w:rStyle w:val="17"/>
        </w:rPr>
        <w:t xml:space="preserve"> Просмотр файлов формата </w:t>
      </w:r>
      <w:r>
        <w:rPr>
          <w:rStyle w:val="17"/>
          <w:lang w:val="en-US"/>
        </w:rPr>
        <w:t>XML</w:t>
      </w:r>
      <w:r>
        <w:tab/>
      </w:r>
      <w:r>
        <w:fldChar w:fldCharType="begin"/>
      </w:r>
      <w:r>
        <w:instrText xml:space="preserve"> PAGEREF _Toc225871584 \h </w:instrText>
      </w:r>
      <w:r>
        <w:fldChar w:fldCharType="separate"/>
      </w:r>
      <w:r>
        <w:t>193</w:t>
      </w:r>
      <w:r>
        <w:fldChar w:fldCharType="end"/>
      </w:r>
      <w:r>
        <w:fldChar w:fldCharType="end"/>
      </w:r>
    </w:p>
    <w:p w14:paraId="546E18CE">
      <w:pPr>
        <w:pStyle w:val="29"/>
        <w:rPr>
          <w:rFonts w:asciiTheme="minorHAnsi" w:hAnsiTheme="minorHAnsi" w:eastAsiaTheme="minorEastAsia" w:cstheme="minorBidi"/>
          <w:kern w:val="2"/>
          <w14:ligatures w14:val="standardContextual"/>
        </w:rPr>
      </w:pPr>
      <w:r>
        <w:fldChar w:fldCharType="begin"/>
      </w:r>
      <w:r>
        <w:instrText xml:space="preserve"> HYPERLINK \l "_Toc225871585" </w:instrText>
      </w:r>
      <w:r>
        <w:fldChar w:fldCharType="separate"/>
      </w:r>
      <w:r>
        <w:rPr>
          <w:rStyle w:val="17"/>
          <w14:scene3d w14:prst="orthographicFront">
            <w14:lightRig w14:rig="threePt" w14:dir="t">
              <w14:rot w14:lat="0" w14:lon="0" w14:rev="0"/>
            </w14:lightRig>
          </w14:scene3d>
        </w:rPr>
        <w:t>В.2</w:t>
      </w:r>
      <w:r>
        <w:rPr>
          <w:rStyle w:val="17"/>
        </w:rPr>
        <w:t xml:space="preserve"> Просмотр файлов формата </w:t>
      </w:r>
      <w:r>
        <w:rPr>
          <w:rStyle w:val="17"/>
          <w:lang w:val="en-US"/>
        </w:rPr>
        <w:t>CSV</w:t>
      </w:r>
      <w:r>
        <w:tab/>
      </w:r>
      <w:r>
        <w:fldChar w:fldCharType="begin"/>
      </w:r>
      <w:r>
        <w:instrText xml:space="preserve"> PAGEREF _Toc225871585 \h </w:instrText>
      </w:r>
      <w:r>
        <w:fldChar w:fldCharType="separate"/>
      </w:r>
      <w:r>
        <w:t>193</w:t>
      </w:r>
      <w:r>
        <w:fldChar w:fldCharType="end"/>
      </w:r>
      <w:r>
        <w:fldChar w:fldCharType="end"/>
      </w:r>
    </w:p>
    <w:p w14:paraId="240FFF86">
      <w:pPr>
        <w:pStyle w:val="71"/>
      </w:pPr>
      <w:r>
        <w:rPr>
          <w:lang w:val="en-US"/>
        </w:rPr>
        <w:fldChar w:fldCharType="end"/>
      </w:r>
    </w:p>
    <w:p w14:paraId="14CA82E9">
      <w:pPr>
        <w:pStyle w:val="72"/>
      </w:pPr>
      <w:bookmarkStart w:id="2" w:name="_Toc16252649"/>
      <w:bookmarkStart w:id="3" w:name="_Toc122637985"/>
      <w:bookmarkStart w:id="4" w:name="_Toc129940778"/>
      <w:bookmarkStart w:id="5" w:name="_Toc150261747"/>
      <w:bookmarkStart w:id="6" w:name="_Toc40472288"/>
      <w:bookmarkStart w:id="7" w:name="_Toc40470568"/>
      <w:bookmarkStart w:id="8" w:name="_Toc13661382"/>
      <w:bookmarkStart w:id="9" w:name="_Toc16523624"/>
      <w:bookmarkStart w:id="10" w:name="_Toc16179893"/>
      <w:bookmarkStart w:id="11" w:name="_Toc225871478"/>
      <w:r>
        <w:t xml:space="preserve">Термины и 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>
        <w:t>сокращения</w:t>
      </w:r>
      <w:bookmarkEnd w:id="11"/>
    </w:p>
    <w:p w14:paraId="380CE635">
      <w:pPr>
        <w:pStyle w:val="45"/>
      </w:pPr>
      <w:r>
        <w:t>В настоящем документе использованы следующие термины и сокращения с соответствующими определениями:</w:t>
      </w:r>
    </w:p>
    <w:tbl>
      <w:tblPr>
        <w:tblStyle w:val="12"/>
        <w:tblW w:w="5000" w:type="pct"/>
        <w:tblInd w:w="0" w:type="dxa"/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2567"/>
        <w:gridCol w:w="285"/>
        <w:gridCol w:w="6842"/>
      </w:tblGrid>
      <w:tr w14:paraId="67436260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1E8569E">
            <w:pPr>
              <w:pStyle w:val="55"/>
            </w:pPr>
            <w:r>
              <w:t>Аварийная ситуация</w:t>
            </w:r>
          </w:p>
        </w:tc>
        <w:tc>
          <w:tcPr>
            <w:tcW w:w="147" w:type="pct"/>
          </w:tcPr>
          <w:p w14:paraId="294FE3A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8DD9253">
            <w:pPr>
              <w:pStyle w:val="54"/>
            </w:pPr>
            <w:r>
              <w:t>Полная или частичная потеря функциональности Подсистемы</w:t>
            </w:r>
          </w:p>
        </w:tc>
      </w:tr>
      <w:tr w14:paraId="4FC4EA30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F21F031">
            <w:pPr>
              <w:pStyle w:val="55"/>
            </w:pPr>
            <w:r>
              <w:t>Администратор</w:t>
            </w:r>
          </w:p>
        </w:tc>
        <w:tc>
          <w:tcPr>
            <w:tcW w:w="147" w:type="pct"/>
          </w:tcPr>
          <w:p w14:paraId="7408502E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DF8E061">
            <w:pPr>
              <w:pStyle w:val="54"/>
            </w:pPr>
            <w:r>
              <w:t>Сотрудник, производящий контроль за работоспособностью Подсистемы, настройку подсистемы в режиме администрирования и обеспечение её функционирования в штатном режиме</w:t>
            </w:r>
          </w:p>
        </w:tc>
      </w:tr>
      <w:tr w14:paraId="3E3814D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0592481">
            <w:pPr>
              <w:pStyle w:val="55"/>
            </w:pPr>
            <w:r>
              <w:t>Администратор прав доступа</w:t>
            </w:r>
          </w:p>
        </w:tc>
        <w:tc>
          <w:tcPr>
            <w:tcW w:w="147" w:type="pct"/>
          </w:tcPr>
          <w:p w14:paraId="06DA4661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ECA9EB9">
            <w:pPr>
              <w:pStyle w:val="54"/>
            </w:pPr>
            <w:r>
              <w:t>Сотрудник, в чьи функциональные обязанности входит управление правами доступа пользователей Подсистемы</w:t>
            </w:r>
          </w:p>
        </w:tc>
      </w:tr>
      <w:tr w14:paraId="5A6B33CC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8848334">
            <w:pPr>
              <w:pStyle w:val="55"/>
            </w:pPr>
            <w:r>
              <w:t>АРМ</w:t>
            </w:r>
          </w:p>
        </w:tc>
        <w:tc>
          <w:tcPr>
            <w:tcW w:w="147" w:type="pct"/>
          </w:tcPr>
          <w:p w14:paraId="5EAA287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0DF87D8">
            <w:pPr>
              <w:pStyle w:val="54"/>
            </w:pPr>
            <w:r>
              <w:t>Автоматизированное рабочее место</w:t>
            </w:r>
          </w:p>
        </w:tc>
      </w:tr>
      <w:tr w14:paraId="374CE5D0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DAEFA24">
            <w:pPr>
              <w:pStyle w:val="55"/>
            </w:pPr>
            <w:r>
              <w:t>ГИС ОМС</w:t>
            </w:r>
          </w:p>
        </w:tc>
        <w:tc>
          <w:tcPr>
            <w:tcW w:w="147" w:type="pct"/>
          </w:tcPr>
          <w:p w14:paraId="1CBF198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6A436A2B">
            <w:pPr>
              <w:pStyle w:val="54"/>
            </w:pPr>
            <w:r>
              <w:t>Государственная информационная система обязательного медицинского страхования</w:t>
            </w:r>
          </w:p>
        </w:tc>
      </w:tr>
      <w:tr w14:paraId="10A3F0F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C192F83">
            <w:pPr>
              <w:pStyle w:val="55"/>
            </w:pPr>
            <w:r>
              <w:t>ГР</w:t>
            </w:r>
          </w:p>
        </w:tc>
        <w:tc>
          <w:tcPr>
            <w:tcW w:w="147" w:type="pct"/>
          </w:tcPr>
          <w:p w14:paraId="0D406AFE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B5540CD">
            <w:pPr>
              <w:pStyle w:val="54"/>
            </w:pPr>
            <w:r>
              <w:t>Горизонтальные расчеты, расчеты между медицинскими организациями по счетам за МП ЗЛ в рамках подушевого финансирования</w:t>
            </w:r>
          </w:p>
        </w:tc>
      </w:tr>
      <w:tr w14:paraId="28AF07AC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C5FC3D6">
            <w:pPr>
              <w:pStyle w:val="55"/>
            </w:pPr>
            <w:r>
              <w:t>ДС</w:t>
            </w:r>
          </w:p>
        </w:tc>
        <w:tc>
          <w:tcPr>
            <w:tcW w:w="147" w:type="pct"/>
          </w:tcPr>
          <w:p w14:paraId="00E8EAF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028AFA3F">
            <w:pPr>
              <w:pStyle w:val="54"/>
            </w:pPr>
            <w:r>
              <w:t>Дневной стационар</w:t>
            </w:r>
          </w:p>
        </w:tc>
      </w:tr>
      <w:tr w14:paraId="655FBC7C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DC62D15">
            <w:pPr>
              <w:pStyle w:val="55"/>
            </w:pPr>
            <w:r>
              <w:t>ЕГИСЗ</w:t>
            </w:r>
          </w:p>
        </w:tc>
        <w:tc>
          <w:tcPr>
            <w:tcW w:w="147" w:type="pct"/>
          </w:tcPr>
          <w:p w14:paraId="16BC56C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25A1836">
            <w:pPr>
              <w:pStyle w:val="54"/>
            </w:pPr>
            <w:r>
              <w:t>Единая государственная информационная система в сфере здравоохранения</w:t>
            </w:r>
          </w:p>
        </w:tc>
      </w:tr>
      <w:tr w14:paraId="555169F1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4CEDE54">
            <w:pPr>
              <w:pStyle w:val="55"/>
            </w:pPr>
            <w:r>
              <w:t>ЕНП</w:t>
            </w:r>
          </w:p>
        </w:tc>
        <w:tc>
          <w:tcPr>
            <w:tcW w:w="147" w:type="pct"/>
          </w:tcPr>
          <w:p w14:paraId="2F340AF8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A958662">
            <w:pPr>
              <w:pStyle w:val="54"/>
            </w:pPr>
            <w:r>
              <w:t>Единый номер полиса</w:t>
            </w:r>
          </w:p>
        </w:tc>
      </w:tr>
      <w:tr w14:paraId="2A545FDC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F5A24A2">
            <w:pPr>
              <w:pStyle w:val="55"/>
            </w:pPr>
            <w:r>
              <w:t>ЕСКЛП</w:t>
            </w:r>
          </w:p>
        </w:tc>
        <w:tc>
          <w:tcPr>
            <w:tcW w:w="147" w:type="pct"/>
          </w:tcPr>
          <w:p w14:paraId="303C2BC7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0F682B5E">
            <w:pPr>
              <w:pStyle w:val="54"/>
            </w:pPr>
            <w:r>
              <w:t>Единый справочник-каталог лекарственных препаратов</w:t>
            </w:r>
          </w:p>
        </w:tc>
      </w:tr>
      <w:tr w14:paraId="01D3C22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1EE42EF">
            <w:pPr>
              <w:pStyle w:val="55"/>
            </w:pPr>
            <w:r>
              <w:t>ЗЛ</w:t>
            </w:r>
          </w:p>
        </w:tc>
        <w:tc>
          <w:tcPr>
            <w:tcW w:w="147" w:type="pct"/>
          </w:tcPr>
          <w:p w14:paraId="2C8A6D4B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58F9F01">
            <w:pPr>
              <w:pStyle w:val="54"/>
            </w:pPr>
            <w:r>
              <w:t>Застрахованное лицо в системе ОМС</w:t>
            </w:r>
          </w:p>
        </w:tc>
      </w:tr>
      <w:tr w14:paraId="58E7494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33CC3560">
            <w:pPr>
              <w:pStyle w:val="55"/>
            </w:pPr>
            <w:r>
              <w:t>ЗНО</w:t>
            </w:r>
          </w:p>
        </w:tc>
        <w:tc>
          <w:tcPr>
            <w:tcW w:w="147" w:type="pct"/>
          </w:tcPr>
          <w:p w14:paraId="3C286A3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5805FC7">
            <w:pPr>
              <w:pStyle w:val="54"/>
            </w:pPr>
            <w:r>
              <w:t>Злокачественное новообразование</w:t>
            </w:r>
          </w:p>
        </w:tc>
      </w:tr>
      <w:tr w14:paraId="410D654C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28FAD46">
            <w:pPr>
              <w:pStyle w:val="55"/>
            </w:pPr>
            <w:r>
              <w:t>ДУДЛ</w:t>
            </w:r>
          </w:p>
        </w:tc>
        <w:tc>
          <w:tcPr>
            <w:tcW w:w="147" w:type="pct"/>
          </w:tcPr>
          <w:p w14:paraId="6CF72E18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61B03C7D">
            <w:pPr>
              <w:pStyle w:val="54"/>
            </w:pPr>
            <w:r>
              <w:t>Документ, удостоверяющий личность</w:t>
            </w:r>
          </w:p>
        </w:tc>
      </w:tr>
      <w:tr w14:paraId="678E134F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3BF32FE4">
            <w:pPr>
              <w:pStyle w:val="55"/>
            </w:pPr>
            <w:r>
              <w:t>ЗС</w:t>
            </w:r>
          </w:p>
        </w:tc>
        <w:tc>
          <w:tcPr>
            <w:tcW w:w="147" w:type="pct"/>
          </w:tcPr>
          <w:p w14:paraId="7B810468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F930E08">
            <w:pPr>
              <w:pStyle w:val="54"/>
            </w:pPr>
            <w:r>
              <w:t>Законченный случай</w:t>
            </w:r>
          </w:p>
        </w:tc>
      </w:tr>
      <w:tr w14:paraId="254C37C5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087A5B3">
            <w:pPr>
              <w:pStyle w:val="55"/>
            </w:pPr>
            <w:r>
              <w:t>ЗСПД</w:t>
            </w:r>
          </w:p>
        </w:tc>
        <w:tc>
          <w:tcPr>
            <w:tcW w:w="147" w:type="pct"/>
          </w:tcPr>
          <w:p w14:paraId="7EECA25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71D978F">
            <w:pPr>
              <w:pStyle w:val="54"/>
            </w:pPr>
            <w:r>
              <w:t>Защищенная сеть передачи данных ФОМС</w:t>
            </w:r>
          </w:p>
        </w:tc>
      </w:tr>
      <w:tr w14:paraId="3E826501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40F00E3D">
            <w:pPr>
              <w:pStyle w:val="55"/>
            </w:pPr>
            <w:r>
              <w:t>КЛП</w:t>
            </w:r>
          </w:p>
        </w:tc>
        <w:tc>
          <w:tcPr>
            <w:tcW w:w="147" w:type="pct"/>
          </w:tcPr>
          <w:p w14:paraId="545F0217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BE01494">
            <w:pPr>
              <w:pStyle w:val="54"/>
            </w:pPr>
            <w:r>
              <w:t>Код лекарственного препарата</w:t>
            </w:r>
          </w:p>
        </w:tc>
      </w:tr>
      <w:tr w14:paraId="23AA6ACE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8044CD7">
            <w:pPr>
              <w:pStyle w:val="55"/>
            </w:pPr>
            <w:r>
              <w:t>КМК</w:t>
            </w:r>
          </w:p>
        </w:tc>
        <w:tc>
          <w:tcPr>
            <w:tcW w:w="147" w:type="pct"/>
          </w:tcPr>
          <w:p w14:paraId="5804D0D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BCD7265">
            <w:pPr>
              <w:pStyle w:val="54"/>
            </w:pPr>
            <w:r>
              <w:t>Код медицинской классификации</w:t>
            </w:r>
          </w:p>
        </w:tc>
      </w:tr>
      <w:tr w14:paraId="1C82AFC4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BD019B5">
            <w:pPr>
              <w:pStyle w:val="55"/>
            </w:pPr>
            <w:r>
              <w:t>КС</w:t>
            </w:r>
          </w:p>
        </w:tc>
        <w:tc>
          <w:tcPr>
            <w:tcW w:w="147" w:type="pct"/>
          </w:tcPr>
          <w:p w14:paraId="5977096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6B157D0">
            <w:pPr>
              <w:pStyle w:val="54"/>
            </w:pPr>
            <w:r>
              <w:t>Круглосуточный стационар</w:t>
            </w:r>
          </w:p>
        </w:tc>
      </w:tr>
      <w:tr w14:paraId="2CAF2A6F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C9DA694">
            <w:pPr>
              <w:pStyle w:val="55"/>
            </w:pPr>
            <w:r>
              <w:t>КСГ</w:t>
            </w:r>
          </w:p>
        </w:tc>
        <w:tc>
          <w:tcPr>
            <w:tcW w:w="147" w:type="pct"/>
          </w:tcPr>
          <w:p w14:paraId="270C5455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F0C0F2E">
            <w:pPr>
              <w:pStyle w:val="54"/>
            </w:pPr>
            <w:r>
              <w:t>Клинико-статистическая группа</w:t>
            </w:r>
          </w:p>
        </w:tc>
      </w:tr>
      <w:tr w14:paraId="4B3578BF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2C5EE53">
            <w:pPr>
              <w:pStyle w:val="55"/>
            </w:pPr>
            <w:r>
              <w:t>КСЛП</w:t>
            </w:r>
          </w:p>
        </w:tc>
        <w:tc>
          <w:tcPr>
            <w:tcW w:w="147" w:type="pct"/>
          </w:tcPr>
          <w:p w14:paraId="7E54A9CF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1036B3B">
            <w:pPr>
              <w:pStyle w:val="54"/>
            </w:pPr>
            <w:r>
              <w:t>Коэффициента сложности лечения пациента</w:t>
            </w:r>
          </w:p>
        </w:tc>
      </w:tr>
      <w:tr w14:paraId="76ECF92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C2B1170">
            <w:pPr>
              <w:pStyle w:val="55"/>
            </w:pPr>
            <w:r>
              <w:t>ЛФ</w:t>
            </w:r>
          </w:p>
        </w:tc>
        <w:tc>
          <w:tcPr>
            <w:tcW w:w="147" w:type="pct"/>
          </w:tcPr>
          <w:p w14:paraId="7B48E6A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6C677C1">
            <w:pPr>
              <w:pStyle w:val="54"/>
            </w:pPr>
            <w:r>
              <w:t>Лекарственная форма</w:t>
            </w:r>
          </w:p>
        </w:tc>
      </w:tr>
      <w:tr w14:paraId="52BB91C1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6FBAC2E">
            <w:pPr>
              <w:pStyle w:val="55"/>
            </w:pPr>
            <w:r>
              <w:t>МИС</w:t>
            </w:r>
          </w:p>
        </w:tc>
        <w:tc>
          <w:tcPr>
            <w:tcW w:w="147" w:type="pct"/>
          </w:tcPr>
          <w:p w14:paraId="100941F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E349817">
            <w:pPr>
              <w:pStyle w:val="54"/>
            </w:pPr>
            <w:r>
              <w:t>Медицинская информационная система</w:t>
            </w:r>
          </w:p>
        </w:tc>
      </w:tr>
      <w:tr w14:paraId="584CA3A3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FF65978">
            <w:pPr>
              <w:pStyle w:val="55"/>
            </w:pPr>
            <w:r>
              <w:t>МНН</w:t>
            </w:r>
          </w:p>
        </w:tc>
        <w:tc>
          <w:tcPr>
            <w:tcW w:w="147" w:type="pct"/>
          </w:tcPr>
          <w:p w14:paraId="08D32CC2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2868D1FD">
            <w:pPr>
              <w:pStyle w:val="54"/>
            </w:pPr>
            <w:r>
              <w:t>Международное наименование</w:t>
            </w:r>
          </w:p>
        </w:tc>
      </w:tr>
      <w:tr w14:paraId="1C93AAC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0D38C6F">
            <w:pPr>
              <w:pStyle w:val="55"/>
            </w:pPr>
            <w:r>
              <w:t>МО</w:t>
            </w:r>
          </w:p>
        </w:tc>
        <w:tc>
          <w:tcPr>
            <w:tcW w:w="147" w:type="pct"/>
          </w:tcPr>
          <w:p w14:paraId="4EBF2057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5489548">
            <w:pPr>
              <w:pStyle w:val="54"/>
            </w:pPr>
            <w:r>
              <w:t>Медицинская организация, осуществляющая деятельность в сфере обязательного медицинского страхования</w:t>
            </w:r>
          </w:p>
        </w:tc>
      </w:tr>
      <w:tr w14:paraId="60B448BB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80B2992">
            <w:pPr>
              <w:pStyle w:val="55"/>
            </w:pPr>
            <w:r>
              <w:t>МП</w:t>
            </w:r>
          </w:p>
        </w:tc>
        <w:tc>
          <w:tcPr>
            <w:tcW w:w="147" w:type="pct"/>
          </w:tcPr>
          <w:p w14:paraId="0F46B65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26CEA59D">
            <w:pPr>
              <w:pStyle w:val="54"/>
            </w:pPr>
            <w:r>
              <w:t>Медицинская помощь</w:t>
            </w:r>
          </w:p>
        </w:tc>
      </w:tr>
      <w:tr w14:paraId="23D8836E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F571FD2">
            <w:pPr>
              <w:pStyle w:val="55"/>
            </w:pPr>
            <w:r>
              <w:t>МР</w:t>
            </w:r>
          </w:p>
        </w:tc>
        <w:tc>
          <w:tcPr>
            <w:tcW w:w="147" w:type="pct"/>
          </w:tcPr>
          <w:p w14:paraId="4C6CBF16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02EB9C51">
            <w:pPr>
              <w:pStyle w:val="54"/>
            </w:pPr>
            <w:r>
              <w:t>Медицинский работник</w:t>
            </w:r>
          </w:p>
        </w:tc>
      </w:tr>
      <w:tr w14:paraId="65F8FE4D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4436C8B0">
            <w:pPr>
              <w:pStyle w:val="55"/>
            </w:pPr>
            <w:r>
              <w:t>МЭК</w:t>
            </w:r>
          </w:p>
        </w:tc>
        <w:tc>
          <w:tcPr>
            <w:tcW w:w="147" w:type="pct"/>
          </w:tcPr>
          <w:p w14:paraId="04BDDB7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0299EBD5">
            <w:pPr>
              <w:pStyle w:val="54"/>
            </w:pPr>
            <w:bookmarkStart w:id="12" w:name="_Hlk146815360"/>
            <w:r>
              <w:t>Медико-экономический контроль медицинской помощи</w:t>
            </w:r>
            <w:bookmarkEnd w:id="12"/>
          </w:p>
        </w:tc>
      </w:tr>
      <w:tr w14:paraId="25D4B437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C40CB76">
            <w:pPr>
              <w:pStyle w:val="55"/>
            </w:pPr>
            <w:r>
              <w:t>МЭЭ</w:t>
            </w:r>
          </w:p>
        </w:tc>
        <w:tc>
          <w:tcPr>
            <w:tcW w:w="147" w:type="pct"/>
          </w:tcPr>
          <w:p w14:paraId="7CCA1F2B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11AA263">
            <w:pPr>
              <w:pStyle w:val="54"/>
            </w:pPr>
            <w:r>
              <w:t>Медико-экономическая экспертиза</w:t>
            </w:r>
          </w:p>
        </w:tc>
      </w:tr>
      <w:tr w14:paraId="183A647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71F2F3F">
            <w:pPr>
              <w:pStyle w:val="55"/>
            </w:pPr>
            <w:r>
              <w:t>НМУ</w:t>
            </w:r>
          </w:p>
        </w:tc>
        <w:tc>
          <w:tcPr>
            <w:tcW w:w="147" w:type="pct"/>
          </w:tcPr>
          <w:p w14:paraId="62645D5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F5E1AE4">
            <w:pPr>
              <w:pStyle w:val="54"/>
            </w:pPr>
            <w:r>
              <w:t>Номенклатура медицинских услуг</w:t>
            </w:r>
          </w:p>
        </w:tc>
      </w:tr>
      <w:tr w14:paraId="21F32CEF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C126C62">
            <w:pPr>
              <w:pStyle w:val="55"/>
            </w:pPr>
            <w:r>
              <w:t>НСИ</w:t>
            </w:r>
          </w:p>
        </w:tc>
        <w:tc>
          <w:tcPr>
            <w:tcW w:w="147" w:type="pct"/>
          </w:tcPr>
          <w:p w14:paraId="19D4D39B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4C69948">
            <w:pPr>
              <w:pStyle w:val="54"/>
            </w:pPr>
            <w:r>
              <w:t>Нормативно-справочная информация</w:t>
            </w:r>
          </w:p>
        </w:tc>
      </w:tr>
      <w:tr w14:paraId="100CFD7A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90F9522">
            <w:pPr>
              <w:pStyle w:val="55"/>
            </w:pPr>
            <w:r>
              <w:t>ОИП</w:t>
            </w:r>
          </w:p>
        </w:tc>
        <w:tc>
          <w:tcPr>
            <w:tcW w:w="147" w:type="pct"/>
          </w:tcPr>
          <w:p w14:paraId="35D8F7B1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FA31FEF">
            <w:pPr>
              <w:pStyle w:val="54"/>
            </w:pPr>
            <w:r>
              <w:t>Обезличенный идентификатор пациента</w:t>
            </w:r>
          </w:p>
        </w:tc>
      </w:tr>
      <w:tr w14:paraId="5F533F59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D64E924">
            <w:pPr>
              <w:pStyle w:val="55"/>
            </w:pPr>
            <w:r>
              <w:t>ОМС</w:t>
            </w:r>
          </w:p>
        </w:tc>
        <w:tc>
          <w:tcPr>
            <w:tcW w:w="147" w:type="pct"/>
          </w:tcPr>
          <w:p w14:paraId="0350F04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31ECAB4">
            <w:pPr>
              <w:pStyle w:val="54"/>
            </w:pPr>
            <w:r>
              <w:t>Обязательное медицинское страхование</w:t>
            </w:r>
          </w:p>
        </w:tc>
      </w:tr>
      <w:tr w14:paraId="2DE341EE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7B20FA7">
            <w:pPr>
              <w:pStyle w:val="55"/>
            </w:pPr>
            <w:r>
              <w:t>ОС</w:t>
            </w:r>
          </w:p>
        </w:tc>
        <w:tc>
          <w:tcPr>
            <w:tcW w:w="147" w:type="pct"/>
          </w:tcPr>
          <w:p w14:paraId="250F36B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3B3A58F">
            <w:pPr>
              <w:pStyle w:val="54"/>
            </w:pPr>
            <w:r>
              <w:t>Операционная система</w:t>
            </w:r>
          </w:p>
        </w:tc>
      </w:tr>
      <w:tr w14:paraId="38F0051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B2E695D">
            <w:pPr>
              <w:pStyle w:val="55"/>
            </w:pPr>
            <w:r>
              <w:t>ОСП</w:t>
            </w:r>
          </w:p>
        </w:tc>
        <w:tc>
          <w:tcPr>
            <w:tcW w:w="147" w:type="pct"/>
          </w:tcPr>
          <w:p w14:paraId="5E8CD42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BB48F73">
            <w:pPr>
              <w:pStyle w:val="54"/>
            </w:pPr>
            <w:r>
              <w:t>Обособленное структурное подразделение</w:t>
            </w:r>
          </w:p>
        </w:tc>
      </w:tr>
      <w:tr w14:paraId="1995ABB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2651F48">
            <w:pPr>
              <w:pStyle w:val="55"/>
            </w:pPr>
            <w:r>
              <w:t>ОШС</w:t>
            </w:r>
          </w:p>
        </w:tc>
        <w:tc>
          <w:tcPr>
            <w:tcW w:w="147" w:type="pct"/>
          </w:tcPr>
          <w:p w14:paraId="7C6DBC22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8D7604A">
            <w:pPr>
              <w:pStyle w:val="54"/>
            </w:pPr>
            <w:r>
              <w:t>Организационно-штатная структура</w:t>
            </w:r>
          </w:p>
        </w:tc>
      </w:tr>
      <w:tr w14:paraId="73F38F14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3A8FA33D">
            <w:pPr>
              <w:pStyle w:val="55"/>
            </w:pPr>
            <w:r>
              <w:t>ПГГ</w:t>
            </w:r>
          </w:p>
        </w:tc>
        <w:tc>
          <w:tcPr>
            <w:tcW w:w="147" w:type="pct"/>
          </w:tcPr>
          <w:p w14:paraId="33763DC4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A2C638A">
            <w:pPr>
              <w:pStyle w:val="54"/>
            </w:pPr>
            <w:r>
              <w:t>Программа государственных гарантий</w:t>
            </w:r>
          </w:p>
        </w:tc>
      </w:tr>
      <w:tr w14:paraId="4BDE8C73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DE91AC5">
            <w:pPr>
              <w:pStyle w:val="55"/>
            </w:pPr>
            <w:r>
              <w:t>Пользователь</w:t>
            </w:r>
          </w:p>
        </w:tc>
        <w:tc>
          <w:tcPr>
            <w:tcW w:w="147" w:type="pct"/>
          </w:tcPr>
          <w:p w14:paraId="12B4AD25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863130C">
            <w:pPr>
              <w:pStyle w:val="54"/>
            </w:pPr>
            <w:r>
              <w:t>Лицо, имеющее учетную запись в Подсистеме и использующее Подсистему для выполнения своих функциональных обязанностей</w:t>
            </w:r>
          </w:p>
        </w:tc>
      </w:tr>
      <w:tr w14:paraId="0C01489B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41C26900">
            <w:pPr>
              <w:pStyle w:val="55"/>
            </w:pPr>
            <w:r>
              <w:t>Правила ОМС</w:t>
            </w:r>
          </w:p>
        </w:tc>
        <w:tc>
          <w:tcPr>
            <w:tcW w:w="147" w:type="pct"/>
          </w:tcPr>
          <w:p w14:paraId="5A42F6A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5FDFDDF">
            <w:pPr>
              <w:pStyle w:val="54"/>
            </w:pPr>
            <w:r>
              <w:t>Правила обязательного медицинского страхования. Приложение к приказу Министерства здравоохранения Российской Федерации от 28 февраля 2019 г. № 108н «Об утверждении Правил обязательного медицинского страхования»</w:t>
            </w:r>
          </w:p>
        </w:tc>
      </w:tr>
      <w:tr w14:paraId="616CB0A5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33BEF07E">
            <w:pPr>
              <w:pStyle w:val="55"/>
            </w:pPr>
            <w:r>
              <w:t>ПФ</w:t>
            </w:r>
          </w:p>
        </w:tc>
        <w:tc>
          <w:tcPr>
            <w:tcW w:w="147" w:type="pct"/>
          </w:tcPr>
          <w:p w14:paraId="3F1CEE03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3E3B391">
            <w:pPr>
              <w:pStyle w:val="54"/>
            </w:pPr>
            <w:r>
              <w:t>Подушевое финансирование</w:t>
            </w:r>
          </w:p>
        </w:tc>
      </w:tr>
      <w:tr w14:paraId="3C3E9F85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1C18428">
            <w:pPr>
              <w:pStyle w:val="55"/>
            </w:pPr>
            <w:r>
              <w:t>Роль</w:t>
            </w:r>
          </w:p>
        </w:tc>
        <w:tc>
          <w:tcPr>
            <w:tcW w:w="147" w:type="pct"/>
          </w:tcPr>
          <w:p w14:paraId="17F7C0AF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6A7BE5C">
            <w:pPr>
              <w:pStyle w:val="54"/>
            </w:pPr>
            <w:r>
              <w:t>Набор полномочий, предоставленных пользователю для выполнения своих функциональных задач с использованием Подсистемы</w:t>
            </w:r>
          </w:p>
        </w:tc>
      </w:tr>
      <w:tr w14:paraId="6FD4828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464E660C">
            <w:pPr>
              <w:pStyle w:val="55"/>
            </w:pPr>
            <w:r>
              <w:t>Реестр</w:t>
            </w:r>
          </w:p>
        </w:tc>
        <w:tc>
          <w:tcPr>
            <w:tcW w:w="147" w:type="pct"/>
          </w:tcPr>
          <w:p w14:paraId="48ADB685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B3FF631">
            <w:pPr>
              <w:pStyle w:val="54"/>
            </w:pPr>
            <w:r>
              <w:t>Совокупность учтенных персонифицированных сведений за определенный (отчетный) период. Объектами учета являются застрахованные лица, медицинские услуги и т. д.</w:t>
            </w:r>
          </w:p>
        </w:tc>
      </w:tr>
      <w:tr w14:paraId="56F5CC86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24DA202">
            <w:pPr>
              <w:pStyle w:val="55"/>
            </w:pPr>
            <w:r>
              <w:t>Сеанс</w:t>
            </w:r>
          </w:p>
        </w:tc>
        <w:tc>
          <w:tcPr>
            <w:tcW w:w="147" w:type="pct"/>
          </w:tcPr>
          <w:p w14:paraId="274D1F5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4B8F758">
            <w:pPr>
              <w:pStyle w:val="54"/>
            </w:pPr>
            <w:r>
              <w:t>Сессия с учетом процедуры авторизации пользователя</w:t>
            </w:r>
          </w:p>
        </w:tc>
      </w:tr>
      <w:tr w14:paraId="153FEBB4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EB41D8D">
            <w:pPr>
              <w:pStyle w:val="55"/>
            </w:pPr>
            <w:r>
              <w:t>Сессия</w:t>
            </w:r>
          </w:p>
        </w:tc>
        <w:tc>
          <w:tcPr>
            <w:tcW w:w="147" w:type="pct"/>
          </w:tcPr>
          <w:p w14:paraId="4EDE8124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90D1087">
            <w:pPr>
              <w:pStyle w:val="54"/>
            </w:pPr>
            <w:r>
              <w:t>Процесс информационного взаимодействия с веб-сервисом</w:t>
            </w:r>
          </w:p>
        </w:tc>
      </w:tr>
      <w:tr w14:paraId="4701A7C9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0421801">
            <w:pPr>
              <w:pStyle w:val="55"/>
            </w:pPr>
            <w:r>
              <w:t>СМО</w:t>
            </w:r>
          </w:p>
        </w:tc>
        <w:tc>
          <w:tcPr>
            <w:tcW w:w="147" w:type="pct"/>
          </w:tcPr>
          <w:p w14:paraId="129FC05F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5A3C678">
            <w:pPr>
              <w:pStyle w:val="54"/>
            </w:pPr>
            <w:r>
              <w:t>Страховая медицинская организация</w:t>
            </w:r>
          </w:p>
        </w:tc>
      </w:tr>
      <w:tr w14:paraId="5E5CF134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E91D62A">
            <w:pPr>
              <w:pStyle w:val="55"/>
            </w:pPr>
            <w:r>
              <w:t>СТП</w:t>
            </w:r>
          </w:p>
        </w:tc>
        <w:tc>
          <w:tcPr>
            <w:tcW w:w="147" w:type="pct"/>
          </w:tcPr>
          <w:p w14:paraId="0BD1BEF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08988618">
            <w:pPr>
              <w:pStyle w:val="54"/>
            </w:pPr>
            <w:r>
              <w:t>Служба технической поддержки</w:t>
            </w:r>
          </w:p>
        </w:tc>
      </w:tr>
      <w:tr w14:paraId="06C1BB3E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E9E315B">
            <w:pPr>
              <w:pStyle w:val="55"/>
            </w:pPr>
            <w:r>
              <w:t>СТЦ</w:t>
            </w:r>
          </w:p>
        </w:tc>
        <w:tc>
          <w:tcPr>
            <w:tcW w:w="147" w:type="pct"/>
          </w:tcPr>
          <w:p w14:paraId="05D84542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54E5963E">
            <w:pPr>
              <w:pStyle w:val="54"/>
            </w:pPr>
            <w:r>
              <w:t>Документарная фиксация случая оказания медицинской помощи в условиях госпитализации в стационарных условиях</w:t>
            </w:r>
          </w:p>
        </w:tc>
      </w:tr>
      <w:tr w14:paraId="57749621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5138F085">
            <w:pPr>
              <w:pStyle w:val="55"/>
            </w:pPr>
            <w:r>
              <w:t>СУБД</w:t>
            </w:r>
          </w:p>
        </w:tc>
        <w:tc>
          <w:tcPr>
            <w:tcW w:w="147" w:type="pct"/>
          </w:tcPr>
          <w:p w14:paraId="10700499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46D12BC">
            <w:pPr>
              <w:pStyle w:val="54"/>
            </w:pPr>
            <w:r>
              <w:t>Система управления базами данных</w:t>
            </w:r>
          </w:p>
        </w:tc>
      </w:tr>
      <w:tr w14:paraId="5C9F5DCA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EB0560B">
            <w:pPr>
              <w:pStyle w:val="55"/>
            </w:pPr>
            <w:r>
              <w:t>СУЗ</w:t>
            </w:r>
          </w:p>
        </w:tc>
        <w:tc>
          <w:tcPr>
            <w:tcW w:w="147" w:type="pct"/>
          </w:tcPr>
          <w:p w14:paraId="3DE1A69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4C17482">
            <w:pPr>
              <w:pStyle w:val="54"/>
            </w:pPr>
            <w:r>
              <w:t>Система учета заявок</w:t>
            </w:r>
          </w:p>
        </w:tc>
      </w:tr>
      <w:tr w14:paraId="3E29C243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8DE01EC">
            <w:pPr>
              <w:pStyle w:val="55"/>
            </w:pPr>
            <w:r>
              <w:t>СЭМД</w:t>
            </w:r>
          </w:p>
        </w:tc>
        <w:tc>
          <w:tcPr>
            <w:tcW w:w="147" w:type="pct"/>
          </w:tcPr>
          <w:p w14:paraId="27FC9806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2060D721">
            <w:pPr>
              <w:pStyle w:val="54"/>
            </w:pPr>
            <w:r>
              <w:t>Структурированный электронный медицинский документ ЕГИСЗ</w:t>
            </w:r>
          </w:p>
        </w:tc>
      </w:tr>
      <w:tr w14:paraId="3E4E81B5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30E63CC">
            <w:pPr>
              <w:pStyle w:val="55"/>
            </w:pPr>
            <w:r>
              <w:t>СЭФД</w:t>
            </w:r>
          </w:p>
        </w:tc>
        <w:tc>
          <w:tcPr>
            <w:tcW w:w="147" w:type="pct"/>
          </w:tcPr>
          <w:p w14:paraId="3A1772AF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0977ACB">
            <w:pPr>
              <w:pStyle w:val="54"/>
            </w:pPr>
            <w:r>
              <w:t>Структурированный электронный финансовый документ</w:t>
            </w:r>
          </w:p>
        </w:tc>
      </w:tr>
      <w:tr w14:paraId="6A67725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28DBAD7">
            <w:pPr>
              <w:pStyle w:val="55"/>
            </w:pPr>
            <w:r>
              <w:t>ТПГГ</w:t>
            </w:r>
          </w:p>
        </w:tc>
        <w:tc>
          <w:tcPr>
            <w:tcW w:w="147" w:type="pct"/>
          </w:tcPr>
          <w:p w14:paraId="7245A7D7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7544C5DC">
            <w:pPr>
              <w:pStyle w:val="54"/>
            </w:pPr>
            <w:r>
              <w:t>Территориальная программа государственных гарантий</w:t>
            </w:r>
          </w:p>
        </w:tc>
      </w:tr>
      <w:tr w14:paraId="5BC5C269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64D2CCED">
            <w:pPr>
              <w:pStyle w:val="55"/>
            </w:pPr>
            <w:r>
              <w:t>ТФОМС</w:t>
            </w:r>
          </w:p>
        </w:tc>
        <w:tc>
          <w:tcPr>
            <w:tcW w:w="147" w:type="pct"/>
          </w:tcPr>
          <w:p w14:paraId="060C8794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29B9E653">
            <w:pPr>
              <w:pStyle w:val="54"/>
            </w:pPr>
            <w:r>
              <w:t>Территориальный фонд обязательного медицинского страхования</w:t>
            </w:r>
          </w:p>
        </w:tc>
      </w:tr>
      <w:tr w14:paraId="008E8CCD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4CC02231">
            <w:pPr>
              <w:pStyle w:val="55"/>
            </w:pPr>
            <w:r>
              <w:t>ФЕРЗЛ</w:t>
            </w:r>
          </w:p>
        </w:tc>
        <w:tc>
          <w:tcPr>
            <w:tcW w:w="147" w:type="pct"/>
          </w:tcPr>
          <w:p w14:paraId="01EC88CC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6A48A929">
            <w:pPr>
              <w:pStyle w:val="54"/>
            </w:pPr>
            <w:r>
              <w:t>Федеральный единый регистр застрахованных лиц</w:t>
            </w:r>
          </w:p>
        </w:tc>
      </w:tr>
      <w:tr w14:paraId="7AC03FB9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7BC4519">
            <w:pPr>
              <w:pStyle w:val="55"/>
            </w:pPr>
            <w:r>
              <w:t>ФЛК</w:t>
            </w:r>
          </w:p>
        </w:tc>
        <w:tc>
          <w:tcPr>
            <w:tcW w:w="147" w:type="pct"/>
          </w:tcPr>
          <w:p w14:paraId="0CB3CBDE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68A0C55C">
            <w:pPr>
              <w:pStyle w:val="54"/>
            </w:pPr>
            <w:r>
              <w:t>Форматно-логический контроль</w:t>
            </w:r>
          </w:p>
        </w:tc>
      </w:tr>
      <w:tr w14:paraId="028D0FC0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3C598C3A">
            <w:pPr>
              <w:pStyle w:val="55"/>
            </w:pPr>
            <w:r>
              <w:t>ФОМС</w:t>
            </w:r>
          </w:p>
        </w:tc>
        <w:tc>
          <w:tcPr>
            <w:tcW w:w="147" w:type="pct"/>
          </w:tcPr>
          <w:p w14:paraId="526555D3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149A67CE">
            <w:pPr>
              <w:pStyle w:val="54"/>
            </w:pPr>
            <w:r>
              <w:t>Федеральный фонд обязательного медицинского страхования</w:t>
            </w:r>
          </w:p>
        </w:tc>
      </w:tr>
      <w:tr w14:paraId="235BBA28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78A1D7EB">
            <w:pPr>
              <w:pStyle w:val="55"/>
            </w:pPr>
            <w:r>
              <w:t>ФПУМП</w:t>
            </w:r>
          </w:p>
        </w:tc>
        <w:tc>
          <w:tcPr>
            <w:tcW w:w="147" w:type="pct"/>
          </w:tcPr>
          <w:p w14:paraId="73E541CA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3D19D70C">
            <w:pPr>
              <w:pStyle w:val="54"/>
            </w:pPr>
            <w:r>
              <w:t>Федеральная подсистема персонифицированного учета медицинской помощи</w:t>
            </w:r>
          </w:p>
        </w:tc>
      </w:tr>
      <w:tr w14:paraId="01C979CE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1015F5C">
            <w:pPr>
              <w:pStyle w:val="55"/>
            </w:pPr>
            <w:r>
              <w:t>ФРМО</w:t>
            </w:r>
          </w:p>
        </w:tc>
        <w:tc>
          <w:tcPr>
            <w:tcW w:w="147" w:type="pct"/>
          </w:tcPr>
          <w:p w14:paraId="7CB40331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20EB668A">
            <w:pPr>
              <w:pStyle w:val="54"/>
            </w:pPr>
            <w:r>
              <w:t>Федеральный реестр медицинских организаций</w:t>
            </w:r>
          </w:p>
        </w:tc>
      </w:tr>
      <w:tr w14:paraId="0C15138B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295273C2">
            <w:pPr>
              <w:pStyle w:val="55"/>
            </w:pPr>
            <w:r>
              <w:t>ФРМР</w:t>
            </w:r>
          </w:p>
        </w:tc>
        <w:tc>
          <w:tcPr>
            <w:tcW w:w="147" w:type="pct"/>
          </w:tcPr>
          <w:p w14:paraId="5B2F9B7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C6CFC3A">
            <w:pPr>
              <w:pStyle w:val="54"/>
            </w:pPr>
            <w:r>
              <w:t>Федеральный регистр медицинских работников</w:t>
            </w:r>
          </w:p>
        </w:tc>
      </w:tr>
      <w:tr w14:paraId="791DE650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1F9B6023">
            <w:pPr>
              <w:pStyle w:val="55"/>
            </w:pPr>
            <w:r>
              <w:t>ЭКМП</w:t>
            </w:r>
          </w:p>
        </w:tc>
        <w:tc>
          <w:tcPr>
            <w:tcW w:w="147" w:type="pct"/>
          </w:tcPr>
          <w:p w14:paraId="26C3F1BD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461D9D07">
            <w:pPr>
              <w:pStyle w:val="54"/>
            </w:pPr>
            <w:bookmarkStart w:id="13" w:name="_Hlk146815381"/>
            <w:r>
              <w:t>Экспертиза качества медицинской помощи</w:t>
            </w:r>
            <w:bookmarkEnd w:id="13"/>
          </w:p>
        </w:tc>
      </w:tr>
      <w:tr w14:paraId="2695C9F3">
        <w:tblPrEx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83" w:hRule="atLeast"/>
        </w:trPr>
        <w:tc>
          <w:tcPr>
            <w:tcW w:w="1324" w:type="pct"/>
          </w:tcPr>
          <w:p w14:paraId="0B1983ED">
            <w:pPr>
              <w:pStyle w:val="55"/>
            </w:pPr>
            <w:r>
              <w:t>ЭЦП, ЭП</w:t>
            </w:r>
          </w:p>
        </w:tc>
        <w:tc>
          <w:tcPr>
            <w:tcW w:w="147" w:type="pct"/>
          </w:tcPr>
          <w:p w14:paraId="6CE6CE1F">
            <w:pPr>
              <w:pStyle w:val="57"/>
            </w:pPr>
            <w:r>
              <w:t>—</w:t>
            </w:r>
          </w:p>
        </w:tc>
        <w:tc>
          <w:tcPr>
            <w:tcW w:w="3529" w:type="pct"/>
          </w:tcPr>
          <w:p w14:paraId="6D7E6FD9">
            <w:pPr>
              <w:pStyle w:val="54"/>
            </w:pPr>
            <w:r>
              <w:t>Электронная цифровая подпись</w:t>
            </w:r>
          </w:p>
        </w:tc>
      </w:tr>
    </w:tbl>
    <w:p w14:paraId="5B713B54">
      <w:pPr>
        <w:pStyle w:val="44"/>
      </w:pPr>
    </w:p>
    <w:p w14:paraId="21FDED5E">
      <w:pPr>
        <w:pStyle w:val="37"/>
      </w:pPr>
      <w:bookmarkStart w:id="14" w:name="_Toc225871479"/>
      <w:bookmarkStart w:id="15" w:name="_Toc150261748"/>
      <w:r>
        <w:t>Введение</w:t>
      </w:r>
      <w:bookmarkEnd w:id="14"/>
      <w:bookmarkEnd w:id="15"/>
    </w:p>
    <w:p w14:paraId="2587FF8C">
      <w:pPr>
        <w:pStyle w:val="38"/>
      </w:pPr>
      <w:bookmarkStart w:id="16" w:name="_Toc225871480"/>
      <w:bookmarkStart w:id="17" w:name="_Ref130631196"/>
      <w:bookmarkStart w:id="18" w:name="_Toc150261749"/>
      <w:r>
        <w:t>Область применения</w:t>
      </w:r>
      <w:bookmarkEnd w:id="16"/>
      <w:bookmarkEnd w:id="17"/>
      <w:bookmarkEnd w:id="18"/>
    </w:p>
    <w:p w14:paraId="6D6373E0">
      <w:pPr>
        <w:pStyle w:val="44"/>
      </w:pPr>
      <w:r>
        <w:t xml:space="preserve">Федеральная подсистема персонифицированного учета медицинской помощи представляет собой подсистему ГИС ОМС и применяется для автоматизации процессов персонифицированного учета сведений об оказанной медицинской помощи </w:t>
      </w:r>
      <w:bookmarkStart w:id="19" w:name="_Hlk142471753"/>
      <w:r>
        <w:t>в сфере обязательного медицинского страхования РФ</w:t>
      </w:r>
      <w:bookmarkEnd w:id="19"/>
      <w:r>
        <w:t>.</w:t>
      </w:r>
      <w:bookmarkStart w:id="20" w:name="_Toc142297212"/>
      <w:bookmarkEnd w:id="20"/>
    </w:p>
    <w:p w14:paraId="1B61464C">
      <w:pPr>
        <w:pStyle w:val="44"/>
      </w:pPr>
      <w:r>
        <w:t>ФПУМП предназначена для сбора, учета, обработки, передачи и хранения сведений о медицинской помощи, оказанной застрахованным лицам, или лицам, которым была оказана медицинская помощь в соответствии с законодательством РФ, и служит для информационного обеспечения расчетов за оказанную медицинскую помощь между МО и плательщиками, создания условий для осуществления контроля за использованием средств обязательного медицинского страхования, обеспечения процессов контроля объемов, сроков, качества и условий предоставления медицинской помощи и предоставления данных для формирования отчетности.</w:t>
      </w:r>
    </w:p>
    <w:p w14:paraId="1EA7BB34">
      <w:pPr>
        <w:pStyle w:val="38"/>
      </w:pPr>
      <w:bookmarkStart w:id="21" w:name="_Toc225871481"/>
      <w:bookmarkStart w:id="22" w:name="_Toc150261751"/>
      <w:r>
        <w:t>Краткое описание возможностей</w:t>
      </w:r>
      <w:bookmarkEnd w:id="21"/>
      <w:bookmarkEnd w:id="22"/>
    </w:p>
    <w:p w14:paraId="23C58592">
      <w:pPr>
        <w:pStyle w:val="44"/>
      </w:pPr>
      <w:r>
        <w:t>ФПУМП позволяет осуществлять централизованное формирование счетов на базе переданных МО структурированных электронных финансовых документов при помощи унифицированного алгоритма расчета стоимости МП, контроль плановых и фактических объемов оказания МП, выполнение ФЛК и МЭК по единым алгоритмам, управление потоками счетов между МО и плательщиками, отбор услуг на проведение контрольных экспертных мероприятий, автоматизацию проведения медико-экономической экспертизы и экспертизы качества медицинской помощи.</w:t>
      </w:r>
    </w:p>
    <w:p w14:paraId="6BA1F70C">
      <w:pPr>
        <w:pStyle w:val="44"/>
        <w:keepNext/>
      </w:pPr>
      <w:r>
        <w:t>АРМ сотрудника МО обеспечивает возможность автоматизированного выполнения следующих операций:</w:t>
      </w:r>
    </w:p>
    <w:p w14:paraId="3F8F6C5D">
      <w:pPr>
        <w:pStyle w:val="51"/>
      </w:pPr>
      <w:r>
        <w:t>создание и ведение структурированных электронных финансовых документов (СЭФД);</w:t>
      </w:r>
    </w:p>
    <w:p w14:paraId="7C3CFFED">
      <w:pPr>
        <w:pStyle w:val="51"/>
      </w:pPr>
      <w:r>
        <w:t>учет оказанных медицинских услуг, лекарственных препаратов, медицинских изделий, СЭМД;</w:t>
      </w:r>
    </w:p>
    <w:p w14:paraId="4B3326A0">
      <w:pPr>
        <w:pStyle w:val="51"/>
      </w:pPr>
      <w:r>
        <w:t>проведение форматно-логического контроля при создании СЭФД, их формировании и отправке;</w:t>
      </w:r>
    </w:p>
    <w:p w14:paraId="719246A9">
      <w:pPr>
        <w:pStyle w:val="51"/>
      </w:pPr>
      <w:r>
        <w:t>просмотр ошибок ФЛК созданных документов, ошибок по счету и ошибок МЭК;</w:t>
      </w:r>
    </w:p>
    <w:p w14:paraId="045DA7F6">
      <w:pPr>
        <w:pStyle w:val="51"/>
      </w:pPr>
      <w:r>
        <w:t>формирование счетов и реестров счетов;</w:t>
      </w:r>
    </w:p>
    <w:p w14:paraId="1801480F">
      <w:pPr>
        <w:pStyle w:val="51"/>
      </w:pPr>
      <w:r>
        <w:t>отправка счетов и реестров счетов плательщикам;</w:t>
      </w:r>
    </w:p>
    <w:p w14:paraId="04362A10">
      <w:pPr>
        <w:pStyle w:val="51"/>
      </w:pPr>
      <w:r>
        <w:t>получение ответа плательщика;</w:t>
      </w:r>
    </w:p>
    <w:p w14:paraId="2CF86DA6">
      <w:pPr>
        <w:pStyle w:val="51"/>
      </w:pPr>
      <w:r>
        <w:t>просмотр результатов медико-экономического контроля, медико-экономической экспертизы и экспертизы качества медицинской помощи;</w:t>
      </w:r>
    </w:p>
    <w:p w14:paraId="519337DE">
      <w:pPr>
        <w:pStyle w:val="51"/>
      </w:pPr>
      <w:r>
        <w:t xml:space="preserve">мониторинг плановых и фактических </w:t>
      </w:r>
      <w:bookmarkStart w:id="23" w:name="_Hlk174621528"/>
      <w:r>
        <w:t>объемов медицинской помощи</w:t>
      </w:r>
      <w:bookmarkEnd w:id="23"/>
      <w:r>
        <w:t>;</w:t>
      </w:r>
    </w:p>
    <w:p w14:paraId="1C5F95BA">
      <w:pPr>
        <w:pStyle w:val="51"/>
      </w:pPr>
      <w:r>
        <w:t>учет направлений на оказание специализированной медицинской помощи, направлений и талонов на высокотехнологическую помощь;</w:t>
      </w:r>
    </w:p>
    <w:p w14:paraId="69F97B01">
      <w:pPr>
        <w:pStyle w:val="51"/>
      </w:pPr>
      <w:r>
        <w:t>учет доступности коечного фонда МО.</w:t>
      </w:r>
    </w:p>
    <w:p w14:paraId="19FFB985">
      <w:pPr>
        <w:pStyle w:val="38"/>
      </w:pPr>
      <w:bookmarkStart w:id="24" w:name="_Toc142297215"/>
      <w:bookmarkEnd w:id="24"/>
      <w:bookmarkStart w:id="25" w:name="_Toc142297217"/>
      <w:bookmarkEnd w:id="25"/>
      <w:bookmarkStart w:id="26" w:name="_Toc142297219"/>
      <w:bookmarkEnd w:id="26"/>
      <w:bookmarkStart w:id="27" w:name="_Toc142297216"/>
      <w:bookmarkEnd w:id="27"/>
      <w:bookmarkStart w:id="28" w:name="_Toc142297218"/>
      <w:bookmarkEnd w:id="28"/>
      <w:bookmarkStart w:id="29" w:name="_Toc142297221"/>
      <w:bookmarkEnd w:id="29"/>
      <w:bookmarkStart w:id="30" w:name="_Toc142297220"/>
      <w:bookmarkEnd w:id="30"/>
      <w:bookmarkStart w:id="31" w:name="_Toc142297224"/>
      <w:bookmarkEnd w:id="31"/>
      <w:bookmarkStart w:id="32" w:name="_Toc142297223"/>
      <w:bookmarkEnd w:id="32"/>
      <w:bookmarkStart w:id="33" w:name="_Toc142297222"/>
      <w:bookmarkEnd w:id="33"/>
      <w:bookmarkStart w:id="34" w:name="_Toc150261752"/>
      <w:bookmarkStart w:id="35" w:name="_Toc225871482"/>
      <w:r>
        <w:t>Уровень подготовки пользователя</w:t>
      </w:r>
      <w:bookmarkEnd w:id="34"/>
      <w:bookmarkEnd w:id="35"/>
    </w:p>
    <w:p w14:paraId="027CD898">
      <w:pPr>
        <w:pStyle w:val="44"/>
      </w:pPr>
      <w:r>
        <w:t>К работе с подсистемой допускаются пользователи, прошедшие инструктаж по работе с ФПУМП.</w:t>
      </w:r>
    </w:p>
    <w:p w14:paraId="5A18B3D1">
      <w:pPr>
        <w:pStyle w:val="44"/>
      </w:pPr>
      <w:r>
        <w:t>Для успешной работы с ФПУМП пользователи должны обладать следующими основными навыками и знаниями:</w:t>
      </w:r>
    </w:p>
    <w:p w14:paraId="00B730D2">
      <w:pPr>
        <w:pStyle w:val="51"/>
      </w:pPr>
      <w:bookmarkStart w:id="36" w:name="_Hlk171681870"/>
      <w:r>
        <w:t>обращаться с вычислительной техникой в соответствии с инструкциями для пользователей средств вычислительной техники;</w:t>
      </w:r>
    </w:p>
    <w:bookmarkEnd w:id="36"/>
    <w:p w14:paraId="0ED89E3E">
      <w:pPr>
        <w:pStyle w:val="51"/>
      </w:pPr>
      <w:r>
        <w:t>знать предметную область в объеме должностных инструкций;</w:t>
      </w:r>
    </w:p>
    <w:p w14:paraId="273B5B9C">
      <w:pPr>
        <w:pStyle w:val="51"/>
      </w:pPr>
      <w:bookmarkStart w:id="37" w:name="_Hlk171681972"/>
      <w:r>
        <w:t xml:space="preserve">обладать </w:t>
      </w:r>
      <w:bookmarkEnd w:id="37"/>
      <w:r>
        <w:t>базовыми навыками работы на персональном компьютере с графическим пользовательским интерфейсом;</w:t>
      </w:r>
    </w:p>
    <w:p w14:paraId="2B363FA9">
      <w:pPr>
        <w:pStyle w:val="51"/>
      </w:pPr>
      <w:bookmarkStart w:id="38" w:name="_Hlk171681997"/>
      <w:r>
        <w:t>иметь опыт работы с веб-браузерами на уровне пользователя</w:t>
      </w:r>
      <w:bookmarkEnd w:id="38"/>
      <w:r>
        <w:t>;</w:t>
      </w:r>
    </w:p>
    <w:p w14:paraId="771B0E9B">
      <w:pPr>
        <w:pStyle w:val="51"/>
      </w:pPr>
      <w:bookmarkStart w:id="39" w:name="_Hlk171682099"/>
      <w:r>
        <w:t>знать положения настоящего Руководства пользователя в части своих функциональных обязанностей.</w:t>
      </w:r>
      <w:bookmarkEnd w:id="39"/>
    </w:p>
    <w:p w14:paraId="5BE457E6">
      <w:pPr>
        <w:pStyle w:val="38"/>
      </w:pPr>
      <w:bookmarkStart w:id="40" w:name="_Toc150261753"/>
      <w:bookmarkStart w:id="41" w:name="_Toc225871483"/>
      <w:r>
        <w:t>Перечень эксплуатационной документации для ознакомления</w:t>
      </w:r>
      <w:bookmarkEnd w:id="40"/>
      <w:bookmarkEnd w:id="41"/>
    </w:p>
    <w:p w14:paraId="620CF5FC">
      <w:pPr>
        <w:pStyle w:val="44"/>
      </w:pPr>
      <w:bookmarkStart w:id="42" w:name="_Toc91149757"/>
      <w:bookmarkStart w:id="43" w:name="_Toc461196041"/>
      <w:r>
        <w:t>Перед началом работы с ФПУМП пользователю необходимо ознакомиться с настоящим Руководством пользователя.</w:t>
      </w:r>
    </w:p>
    <w:bookmarkEnd w:id="42"/>
    <w:bookmarkEnd w:id="43"/>
    <w:p w14:paraId="26459FD0">
      <w:pPr>
        <w:pStyle w:val="37"/>
      </w:pPr>
      <w:bookmarkStart w:id="44" w:name="_Toc150261754"/>
      <w:bookmarkStart w:id="45" w:name="_Toc225871484"/>
      <w:r>
        <w:t>Назначение и условия применения</w:t>
      </w:r>
      <w:bookmarkEnd w:id="44"/>
      <w:bookmarkEnd w:id="45"/>
    </w:p>
    <w:p w14:paraId="5810AB2E">
      <w:pPr>
        <w:pStyle w:val="38"/>
      </w:pPr>
      <w:bookmarkStart w:id="46" w:name="_Toc225871485"/>
      <w:bookmarkStart w:id="47" w:name="_Toc150261755"/>
      <w:bookmarkStart w:id="48" w:name="_Hlk171689254"/>
      <w:r>
        <w:t>Виды деятельности, функции, для автоматизации которых предназначена подсистема</w:t>
      </w:r>
      <w:bookmarkEnd w:id="46"/>
      <w:bookmarkEnd w:id="47"/>
    </w:p>
    <w:bookmarkEnd w:id="48"/>
    <w:p w14:paraId="1283DB88">
      <w:pPr>
        <w:pStyle w:val="44"/>
      </w:pPr>
      <w:r>
        <w:t>Участники информационного взаимодействия при организации расчетов за оказанную медицинскую помощь в сфере обязательного медицинского страхования:</w:t>
      </w:r>
    </w:p>
    <w:p w14:paraId="67899F62">
      <w:pPr>
        <w:pStyle w:val="51"/>
      </w:pPr>
      <w:r>
        <w:t>Федеральный фонд обязательного медицинского страхования;</w:t>
      </w:r>
    </w:p>
    <w:p w14:paraId="25B46E89">
      <w:pPr>
        <w:pStyle w:val="51"/>
      </w:pPr>
      <w:r>
        <w:t>территориальные фонды обязательного медицинского страхования;</w:t>
      </w:r>
    </w:p>
    <w:p w14:paraId="160141E2">
      <w:pPr>
        <w:pStyle w:val="51"/>
      </w:pPr>
      <w:r>
        <w:t>страховые медицинские организации;</w:t>
      </w:r>
    </w:p>
    <w:p w14:paraId="494932D9">
      <w:pPr>
        <w:pStyle w:val="51"/>
      </w:pPr>
      <w:r>
        <w:t>медицинские организации.</w:t>
      </w:r>
    </w:p>
    <w:p w14:paraId="18308E12">
      <w:pPr>
        <w:pStyle w:val="44"/>
      </w:pPr>
      <w:r>
        <w:t>ФПУМП обеспечивает автоматизацию следующих процессов:</w:t>
      </w:r>
    </w:p>
    <w:p w14:paraId="19C6F6D9">
      <w:pPr>
        <w:pStyle w:val="50"/>
        <w:tabs>
          <w:tab w:val="clear" w:pos="0"/>
        </w:tabs>
        <w:ind w:left="1"/>
      </w:pPr>
      <w:r>
        <w:t xml:space="preserve">ведение </w:t>
      </w:r>
      <w:bookmarkStart w:id="49" w:name="_Hlk154656729"/>
      <w:r>
        <w:t xml:space="preserve">персонифицированного учета оказанной </w:t>
      </w:r>
      <w:bookmarkEnd w:id="49"/>
      <w:r>
        <w:t>МО специализированной, в том числе высокотехнологичной, медицинской помощи в соответствии с едиными требованиями базовой программы обязательного медицинского страхования (далее — специализированная медицинская помощь):</w:t>
      </w:r>
    </w:p>
    <w:p w14:paraId="00F8A00D">
      <w:pPr>
        <w:pStyle w:val="52"/>
      </w:pPr>
      <w:r>
        <w:t xml:space="preserve">формирование и ведение </w:t>
      </w:r>
      <w:bookmarkStart w:id="50" w:name="_Hlk154736591"/>
      <w:r>
        <w:t>структурированных электронных финансовых документов</w:t>
      </w:r>
      <w:bookmarkEnd w:id="50"/>
      <w:r>
        <w:t xml:space="preserve"> об оказанной медицинской помощи (АМБ, СТЦ, СМП), включающих </w:t>
      </w:r>
      <w:r>
        <w:rPr>
          <w:rFonts w:eastAsia="SimSun"/>
        </w:rPr>
        <w:t>данные, необходимые для проведения контроля качества, объемов, сроков и условий оказания медицинской помощи;</w:t>
      </w:r>
    </w:p>
    <w:p w14:paraId="5D20D58F">
      <w:pPr>
        <w:pStyle w:val="52"/>
      </w:pPr>
      <w:r>
        <w:t>проведение форматно-логического контроля при создании СЭФД и контроль объемов, сроков, качества и условий оказания специализированной медицинской помощи;</w:t>
      </w:r>
    </w:p>
    <w:p w14:paraId="4FADA9B0">
      <w:pPr>
        <w:pStyle w:val="52"/>
      </w:pPr>
      <w:r>
        <w:t>регистрация сведений о направлениях на оказание специализированной медицинской помощи, формируемых в соответствии нормативными правовыми актами Российской Федерации, в составе структурированных электронных финансовых документов (АМБ, СТЦ) об оказанной медицинской помощи;</w:t>
      </w:r>
    </w:p>
    <w:p w14:paraId="2B7E8700">
      <w:pPr>
        <w:pStyle w:val="52"/>
      </w:pPr>
      <w:r>
        <w:t>регистрация идентификаторов СЭМД ЕГИСЗ о направлениях, эпикризах, протоколах медицинских услуг и других первичных медицинских документов, формируемых в соответствии нормативными правовыми актами Российской Федерации и переданных МО в составе структурированных электронных финансовых документов (АМБ, СМП, СТЦ) об оказанной МП;</w:t>
      </w:r>
    </w:p>
    <w:p w14:paraId="5453A8F7">
      <w:pPr>
        <w:pStyle w:val="50"/>
        <w:tabs>
          <w:tab w:val="clear" w:pos="0"/>
        </w:tabs>
        <w:ind w:left="1"/>
      </w:pPr>
      <w:r>
        <w:t>расчет стоимости оказанной медицинской помощи:</w:t>
      </w:r>
    </w:p>
    <w:p w14:paraId="2885F861">
      <w:pPr>
        <w:pStyle w:val="52"/>
      </w:pPr>
      <w:r>
        <w:t>расчет стоимости оказанной медицинской помощи на основе сведений персонифицированного учета оказанной МО медицинской помощи;</w:t>
      </w:r>
    </w:p>
    <w:p w14:paraId="36966340">
      <w:pPr>
        <w:pStyle w:val="52"/>
      </w:pPr>
      <w:bookmarkStart w:id="51" w:name="_Hlk154736031"/>
      <w:r>
        <w:t>формирование счетов на оплату медицинской помощи и реестров счетов</w:t>
      </w:r>
      <w:bookmarkEnd w:id="51"/>
      <w:r>
        <w:t>;</w:t>
      </w:r>
    </w:p>
    <w:p w14:paraId="426A6910">
      <w:pPr>
        <w:pStyle w:val="52"/>
      </w:pPr>
      <w:r>
        <w:t>учет сумм санкций и штрафов по итогам контроля качества, объемов, сроков и</w:t>
      </w:r>
      <w:r>
        <w:rPr>
          <w:lang w:val="en-US"/>
        </w:rPr>
        <w:t> </w:t>
      </w:r>
      <w:r>
        <w:t>условий оказания медицинской помощи, в том числе прошлых периодов при формировании счета МО;</w:t>
      </w:r>
    </w:p>
    <w:p w14:paraId="162F7905">
      <w:pPr>
        <w:pStyle w:val="52"/>
      </w:pPr>
      <w:r>
        <w:t>расчет подушевого финансирования МО;</w:t>
      </w:r>
    </w:p>
    <w:p w14:paraId="23F659EA">
      <w:pPr>
        <w:pStyle w:val="52"/>
      </w:pPr>
      <w:r>
        <w:t>расчет горизонтальных (межучрежденческих) взаиморасчетов между МО;</w:t>
      </w:r>
    </w:p>
    <w:p w14:paraId="074D6A5A">
      <w:pPr>
        <w:pStyle w:val="50"/>
        <w:tabs>
          <w:tab w:val="clear" w:pos="0"/>
        </w:tabs>
        <w:ind w:left="1"/>
      </w:pPr>
      <w:r>
        <w:t>проведение медико-экономического контроля:</w:t>
      </w:r>
    </w:p>
    <w:p w14:paraId="678E5B5A">
      <w:pPr>
        <w:pStyle w:val="52"/>
      </w:pPr>
      <w:r>
        <w:t>медико-экономического контроля по совокупности законченных случаев;</w:t>
      </w:r>
    </w:p>
    <w:p w14:paraId="4A44A81D">
      <w:pPr>
        <w:pStyle w:val="52"/>
      </w:pPr>
      <w:r>
        <w:t>повторного медико-экономического контроля по закрытому отчетному периоду;</w:t>
      </w:r>
    </w:p>
    <w:p w14:paraId="3FF5A283">
      <w:pPr>
        <w:pStyle w:val="52"/>
      </w:pPr>
      <w:r>
        <w:t>формирование ответа плательщика по счету МО с указанием сведений МЭК;</w:t>
      </w:r>
    </w:p>
    <w:p w14:paraId="4D684EAF">
      <w:pPr>
        <w:pStyle w:val="52"/>
      </w:pPr>
      <w:bookmarkStart w:id="52" w:name="_Hlk149215450"/>
      <w:r>
        <w:t>формирование итогового заключения по результатам медико-экономического контроля;</w:t>
      </w:r>
    </w:p>
    <w:bookmarkEnd w:id="52"/>
    <w:p w14:paraId="359F7A46">
      <w:pPr>
        <w:pStyle w:val="50"/>
        <w:tabs>
          <w:tab w:val="clear" w:pos="0"/>
        </w:tabs>
        <w:ind w:left="1"/>
      </w:pPr>
      <w:r>
        <w:t>поддержка процессов медико-экономической экспертизы и экспертизы качества оказанной медицинской помощи:</w:t>
      </w:r>
    </w:p>
    <w:p w14:paraId="5E5FE5FB">
      <w:pPr>
        <w:pStyle w:val="52"/>
      </w:pPr>
      <w:r>
        <w:t>отбор случаев для проведения:</w:t>
      </w:r>
    </w:p>
    <w:p w14:paraId="2006C6D2">
      <w:pPr>
        <w:pStyle w:val="73"/>
      </w:pPr>
      <w:r>
        <w:t>плановой медико-экономической экспертизы;</w:t>
      </w:r>
    </w:p>
    <w:p w14:paraId="3F062AB3">
      <w:pPr>
        <w:pStyle w:val="73"/>
      </w:pPr>
      <w:r>
        <w:t>целевой медико-экономической экспертизы;</w:t>
      </w:r>
    </w:p>
    <w:p w14:paraId="7DCA8B86">
      <w:pPr>
        <w:pStyle w:val="73"/>
      </w:pPr>
      <w:r>
        <w:t>экспертизы качества медицинской помощи;</w:t>
      </w:r>
    </w:p>
    <w:p w14:paraId="42229C15">
      <w:pPr>
        <w:pStyle w:val="52"/>
      </w:pPr>
      <w:r>
        <w:t>формирование уведомлений о проведении медико-экономической экспертизы и</w:t>
      </w:r>
      <w:r>
        <w:rPr>
          <w:lang w:val="en-US"/>
        </w:rPr>
        <w:t> </w:t>
      </w:r>
      <w:r>
        <w:t>экспертизы качества медицинской помощи;</w:t>
      </w:r>
    </w:p>
    <w:p w14:paraId="44CAA480">
      <w:pPr>
        <w:pStyle w:val="52"/>
      </w:pPr>
      <w:r>
        <w:t>предоставление сведений СЭФД для проведения медико-экономической экспертизы и экспертизы качества оказанной медицинской помощи;</w:t>
      </w:r>
    </w:p>
    <w:p w14:paraId="2D15984B">
      <w:pPr>
        <w:pStyle w:val="52"/>
      </w:pPr>
      <w:r>
        <w:t>формирование итогового заключения по результатам медико-экономической экспертизы и экспертизы качества медицинской помощи;</w:t>
      </w:r>
    </w:p>
    <w:p w14:paraId="30804E43">
      <w:pPr>
        <w:pStyle w:val="50"/>
        <w:tabs>
          <w:tab w:val="clear" w:pos="0"/>
        </w:tabs>
        <w:ind w:left="1"/>
      </w:pPr>
      <w:r>
        <w:t>обеспечение расчетов за оказанную медицинскую помощь на основе формируемых реестров счетов и счетов на оплату медицинской помощи:</w:t>
      </w:r>
    </w:p>
    <w:p w14:paraId="45473216">
      <w:pPr>
        <w:pStyle w:val="52"/>
      </w:pPr>
      <w:r>
        <w:t>загрузка сведений об авансировании МО на оказание медицинской помощи;</w:t>
      </w:r>
    </w:p>
    <w:p w14:paraId="57595659">
      <w:pPr>
        <w:pStyle w:val="52"/>
      </w:pPr>
      <w:r>
        <w:t>обеспечение процесса приемки счетов МО на оплату медицинской помощи и</w:t>
      </w:r>
      <w:r>
        <w:rPr>
          <w:lang w:val="en-US"/>
        </w:rPr>
        <w:t> </w:t>
      </w:r>
      <w:r>
        <w:t>формирование ответа плательщика;</w:t>
      </w:r>
    </w:p>
    <w:p w14:paraId="195284CD">
      <w:pPr>
        <w:pStyle w:val="52"/>
      </w:pPr>
      <w:r>
        <w:t>загрузка выставленных сумм санкций и штрафов МО по итогам контроля качества, объемов, сроков и условий оказания специализированной медицинской помощи;</w:t>
      </w:r>
    </w:p>
    <w:p w14:paraId="0DBD789A">
      <w:pPr>
        <w:pStyle w:val="50"/>
        <w:tabs>
          <w:tab w:val="clear" w:pos="0"/>
        </w:tabs>
        <w:ind w:left="1"/>
      </w:pPr>
      <w:r>
        <w:t>мониторинг плановых/фактических объемов медицинской помощи МО:</w:t>
      </w:r>
    </w:p>
    <w:p w14:paraId="0F999815">
      <w:pPr>
        <w:pStyle w:val="52"/>
      </w:pPr>
      <w:r>
        <w:t>загрузка плановых годовых объемов медицинской помощи МО;</w:t>
      </w:r>
    </w:p>
    <w:p w14:paraId="7D265FB1">
      <w:pPr>
        <w:pStyle w:val="52"/>
      </w:pPr>
      <w:bookmarkStart w:id="53" w:name="_Hlk154676370"/>
      <w:r>
        <w:t>контроль выполнения плановых объемов медицинской помощи</w:t>
      </w:r>
      <w:bookmarkEnd w:id="53"/>
      <w:r>
        <w:t>;</w:t>
      </w:r>
    </w:p>
    <w:p w14:paraId="4432060E">
      <w:pPr>
        <w:pStyle w:val="52"/>
      </w:pPr>
      <w:r>
        <w:t>формирование аналитических отчетов по исполнению МО объемов медицинской помощи;</w:t>
      </w:r>
    </w:p>
    <w:p w14:paraId="60EE0FDD">
      <w:pPr>
        <w:pStyle w:val="50"/>
      </w:pPr>
      <w:bookmarkStart w:id="54" w:name="_Hlk182930437"/>
      <w:r>
        <w:t>Учет доступности коечного фонда МО:</w:t>
      </w:r>
    </w:p>
    <w:p w14:paraId="0102D8CF">
      <w:pPr>
        <w:pStyle w:val="52"/>
      </w:pPr>
      <w:r>
        <w:t>расчет занятого/доступного коечного фонда МО по сведениям ФРМО и данных СЭФД;</w:t>
      </w:r>
    </w:p>
    <w:p w14:paraId="562C2A60">
      <w:pPr>
        <w:pStyle w:val="52"/>
      </w:pPr>
      <w:r>
        <w:t>формирование отчета о доступности коечного фонда.</w:t>
      </w:r>
      <w:bookmarkEnd w:id="54"/>
    </w:p>
    <w:p w14:paraId="434D6AD2">
      <w:pPr>
        <w:pStyle w:val="38"/>
      </w:pPr>
      <w:bookmarkStart w:id="55" w:name="_Toc171687632"/>
      <w:bookmarkStart w:id="56" w:name="_Toc225871486"/>
      <w:bookmarkStart w:id="57" w:name="_Toc171688102"/>
      <w:r>
        <w:t>Требования к соблюдению информационной безопасности при работе с подсистемой</w:t>
      </w:r>
      <w:bookmarkEnd w:id="55"/>
      <w:bookmarkEnd w:id="56"/>
      <w:bookmarkEnd w:id="57"/>
    </w:p>
    <w:p w14:paraId="0C07D435">
      <w:pPr>
        <w:pStyle w:val="44"/>
      </w:pPr>
      <w:r>
        <w:t>Все сотрудники, выполняющие функции с использованием графического интерфейса пользователя ФПУМП должны четко знать и строго выполнять установленные правила и обязанности по доступу к защищаемым объектам и соблюдению принятого режима безопасности данных.</w:t>
      </w:r>
    </w:p>
    <w:p w14:paraId="2364A788">
      <w:pPr>
        <w:pStyle w:val="44"/>
      </w:pPr>
      <w:r>
        <w:t>Сотрудники, использующие технические средства аутентификации, должны обеспечивать сохранность идентификаторов (электронных ключей, токенов, паролей) и не допускать несанкционированного доступа к ним, а также возможность их утери или использования третьими лицами.</w:t>
      </w:r>
    </w:p>
    <w:p w14:paraId="677BE1AC">
      <w:pPr>
        <w:pStyle w:val="44"/>
      </w:pPr>
      <w:r>
        <w:t>Сотрудники должны следовать установленным процедурам поддержания режима безопасности данных при выборе и использовании паролей (если не используются технические средства аутентификации).</w:t>
      </w:r>
    </w:p>
    <w:p w14:paraId="168D7873">
      <w:pPr>
        <w:pStyle w:val="44"/>
      </w:pPr>
      <w:r>
        <w:t>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терминалов.</w:t>
      </w:r>
    </w:p>
    <w:p w14:paraId="4C529C02">
      <w:pPr>
        <w:pStyle w:val="44"/>
      </w:pPr>
      <w:r>
        <w:t>При завершении работы с Подсистемой сотрудники обязаны защитить АРМ или терминалы с помощью блокировки ключом или эквивалентного средства контроля, например, доступом по паролю, если не используются более сильные средства защиты.</w:t>
      </w:r>
    </w:p>
    <w:p w14:paraId="28AAE530">
      <w:pPr>
        <w:pStyle w:val="44"/>
      </w:pPr>
      <w:r>
        <w:t>Сотрудники обязаны без промедления сообщать обо всех наблюдаемых или подозрительных случаях работы Подсистемы, могущих повлечь за собой угрозы безопасности данных, а также о выявленных ими событиях, затрагивающих безопасность данных, руководству подразделения и лицу, отвечающему за немедленное реагирование на угрозы безопасности данных.</w:t>
      </w:r>
    </w:p>
    <w:p w14:paraId="4E1F318F">
      <w:pPr>
        <w:pStyle w:val="38"/>
      </w:pPr>
      <w:bookmarkStart w:id="58" w:name="_Toc225871487"/>
      <w:bookmarkStart w:id="59" w:name="_Ref155705534"/>
      <w:bookmarkStart w:id="60" w:name="_Toc150261756"/>
      <w:r>
        <w:t>Условия применения</w:t>
      </w:r>
      <w:bookmarkEnd w:id="58"/>
      <w:bookmarkEnd w:id="59"/>
      <w:bookmarkEnd w:id="60"/>
    </w:p>
    <w:p w14:paraId="1DBD1910">
      <w:pPr>
        <w:pStyle w:val="44"/>
      </w:pPr>
      <w:r>
        <w:t>Минимальные требования к техническому обеспечению автоматизированного рабочего места (АРМ) пользователя ФПУМП:</w:t>
      </w:r>
    </w:p>
    <w:p w14:paraId="7A7733AE">
      <w:pPr>
        <w:pStyle w:val="51"/>
      </w:pPr>
      <w:bookmarkStart w:id="61" w:name="_Hlk130804625"/>
      <w:r>
        <w:t>центральный процессор с тактовой частотой не менее 2 ГГц, количество ядер процессора не менее 2;</w:t>
      </w:r>
    </w:p>
    <w:p w14:paraId="4A06953E">
      <w:pPr>
        <w:pStyle w:val="51"/>
      </w:pPr>
      <w:r>
        <w:t>оперативная память не менее 4 ГБ;</w:t>
      </w:r>
    </w:p>
    <w:p w14:paraId="79984F40">
      <w:pPr>
        <w:pStyle w:val="51"/>
      </w:pPr>
      <w:r>
        <w:t>свободное место на жестком диске не менее 300 ГБ;</w:t>
      </w:r>
    </w:p>
    <w:p w14:paraId="63254162">
      <w:pPr>
        <w:pStyle w:val="51"/>
      </w:pPr>
      <w:r>
        <w:t>графическая карта с видеопамятью не менее 128 МБ, допускается интегрированная графическая карта аналогичных характеристик;</w:t>
      </w:r>
    </w:p>
    <w:p w14:paraId="274A459D">
      <w:pPr>
        <w:pStyle w:val="51"/>
      </w:pPr>
      <w:r>
        <w:t>сетевая карта с пропускной способностью 100 Мбит/с;</w:t>
      </w:r>
    </w:p>
    <w:p w14:paraId="675D58EC">
      <w:pPr>
        <w:pStyle w:val="51"/>
      </w:pPr>
      <w:r>
        <w:t>монитор с разрешением не менее 1920х1080;</w:t>
      </w:r>
    </w:p>
    <w:p w14:paraId="03293B1E">
      <w:pPr>
        <w:pStyle w:val="51"/>
      </w:pPr>
      <w:r>
        <w:t xml:space="preserve">стандартная клавиатура с раскладкой </w:t>
      </w:r>
      <w:r>
        <w:rPr>
          <w:lang w:val="en-US"/>
        </w:rPr>
        <w:t>RUS</w:t>
      </w:r>
      <w:r>
        <w:t>/</w:t>
      </w:r>
      <w:r>
        <w:rPr>
          <w:lang w:val="en-US"/>
        </w:rPr>
        <w:t>ENG</w:t>
      </w:r>
      <w:r>
        <w:t>;</w:t>
      </w:r>
    </w:p>
    <w:p w14:paraId="5FCD9828">
      <w:pPr>
        <w:pStyle w:val="51"/>
      </w:pPr>
      <w:r>
        <w:t>манипулятор типа мышь;</w:t>
      </w:r>
    </w:p>
    <w:p w14:paraId="6D532174">
      <w:pPr>
        <w:pStyle w:val="51"/>
      </w:pPr>
      <w:r>
        <w:t>доступ в защищенную сеть передачи данных ФОМС с рекомендованной пропускной способностью 100 Мбит/с.</w:t>
      </w:r>
    </w:p>
    <w:bookmarkEnd w:id="61"/>
    <w:p w14:paraId="293757B4">
      <w:pPr>
        <w:pStyle w:val="44"/>
      </w:pPr>
      <w:r>
        <w:t>В качестве рабочих станций необходимо использовать компьютеры под управлением ОС, обеспечивающих возможность работы со следующими веб-браузерами с поддержкой HTML 5:</w:t>
      </w:r>
    </w:p>
    <w:p w14:paraId="62870885">
      <w:pPr>
        <w:pStyle w:val="51"/>
      </w:pPr>
      <w:bookmarkStart w:id="62" w:name="_Hlk146291926"/>
      <w:r>
        <w:t>Google Chrome не ниже версии 63.0 (без поддержки ГостTLS);</w:t>
      </w:r>
    </w:p>
    <w:p w14:paraId="715ECF3F">
      <w:pPr>
        <w:pStyle w:val="51"/>
      </w:pPr>
      <w:r>
        <w:t>Яндекс.Браузер не ниже версии 21.6.</w:t>
      </w:r>
    </w:p>
    <w:p w14:paraId="3A254D87">
      <w:pPr>
        <w:pStyle w:val="44"/>
      </w:pPr>
      <w:r>
        <w:t>На рабочей станции пользователя с правом подписи счетов дополнительно должно быть установлено согласно инструкции производителя следующее программное обеспечение:</w:t>
      </w:r>
    </w:p>
    <w:p w14:paraId="441C0E2F">
      <w:pPr>
        <w:pStyle w:val="51"/>
      </w:pPr>
      <w:r>
        <w:t>КриптоПро CSP — программное обеспечение для создания юридически значимой электронной подписи (ЭП) и проверки ее подлинности в соответствии с Федеральным законом № 63-ФЗ «Об электронной подписи»;</w:t>
      </w:r>
    </w:p>
    <w:p w14:paraId="0358E843">
      <w:pPr>
        <w:pStyle w:val="51"/>
      </w:pPr>
      <w:r>
        <w:t xml:space="preserve">КриптоПро ЭЦП </w:t>
      </w:r>
      <w:r>
        <w:rPr>
          <w:lang w:val="en-US"/>
        </w:rPr>
        <w:t>Browser</w:t>
      </w:r>
      <w:r>
        <w:t xml:space="preserve"> </w:t>
      </w:r>
      <w:r>
        <w:rPr>
          <w:lang w:val="en-US"/>
        </w:rPr>
        <w:t>plug</w:t>
      </w:r>
      <w:r>
        <w:t>-</w:t>
      </w:r>
      <w:r>
        <w:rPr>
          <w:lang w:val="en-US"/>
        </w:rPr>
        <w:t>in</w:t>
      </w:r>
      <w:r>
        <w:t xml:space="preserve"> — приложение для создания и проверки ЭП на веб-страницах;</w:t>
      </w:r>
    </w:p>
    <w:p w14:paraId="04D2F4E3">
      <w:pPr>
        <w:pStyle w:val="51"/>
      </w:pPr>
      <w:r>
        <w:t>корневой сертификат удостоверяющего центра (УЦ).</w:t>
      </w:r>
    </w:p>
    <w:bookmarkEnd w:id="62"/>
    <w:p w14:paraId="2C0951D4">
      <w:pPr>
        <w:pStyle w:val="44"/>
      </w:pPr>
      <w:r>
        <w:t>АРМ пользователя ФПУМП должно быть подключено к защищенной сети передачи данных ФОМС.</w:t>
      </w:r>
    </w:p>
    <w:p w14:paraId="7C94EFAE">
      <w:pPr>
        <w:pStyle w:val="38"/>
      </w:pPr>
      <w:bookmarkStart w:id="63" w:name="_Toc149209613"/>
      <w:bookmarkStart w:id="64" w:name="_Ref155705528"/>
      <w:bookmarkStart w:id="65" w:name="_Toc225871488"/>
      <w:r>
        <w:t>Актуализация сведений о структуре медицинской организации и сведений о медицинских работниках</w:t>
      </w:r>
      <w:bookmarkEnd w:id="63"/>
      <w:bookmarkEnd w:id="64"/>
      <w:bookmarkEnd w:id="65"/>
    </w:p>
    <w:p w14:paraId="78BBD2DB">
      <w:pPr>
        <w:pStyle w:val="44"/>
        <w:keepLines/>
      </w:pPr>
      <w:r>
        <w:t>При ведении персонифицированного учета сведений о медицинской помощи, оказанной застрахованным лицам, МО и уполномоченными органами осуществляется передача в электронном виде сведений, установленных правилами ведения персонифицированного учета в сфере ОМС.</w:t>
      </w:r>
    </w:p>
    <w:p w14:paraId="58950415">
      <w:pPr>
        <w:pStyle w:val="44"/>
      </w:pPr>
      <w:r>
        <w:t>С целью автоматизированной обработки сведений персонифицированного учета о медицинской помощи используются единые реестры, классификаторы и справочники, в том числе единые для участников системы здравоохранения и обязательные для применения в информационных системах участников системы ОМС.</w:t>
      </w:r>
    </w:p>
    <w:p w14:paraId="67CA8274">
      <w:pPr>
        <w:pStyle w:val="44"/>
      </w:pPr>
      <w:r>
        <w:t xml:space="preserve">МО должна обеспечить своевременное внесение актуальных </w:t>
      </w:r>
      <w:bookmarkStart w:id="66" w:name="_Hlk154657073"/>
      <w:r>
        <w:t xml:space="preserve">сведений о структуре МО в ФРМО и сведений о медицинских работниках в ФРМР. </w:t>
      </w:r>
      <w:bookmarkEnd w:id="66"/>
      <w:r>
        <w:t>Внесение сведений осуществляется посредством интерфейса ФРМО ЕГИСЗ и ФРМР ЕГИСЗ.</w:t>
      </w:r>
      <w:bookmarkStart w:id="67" w:name="_Toc154661907"/>
      <w:bookmarkEnd w:id="67"/>
      <w:bookmarkStart w:id="68" w:name="_Toc154662948"/>
      <w:bookmarkEnd w:id="68"/>
    </w:p>
    <w:p w14:paraId="081A8788">
      <w:pPr>
        <w:pStyle w:val="44"/>
      </w:pPr>
      <w:r>
        <w:t>На основании сведений об ОШС МО и лицензиях МО, а также сведений о занятости, сертификатах и аккредитации медицинских работников, внесенных МО при формировании в ФПУМП СЭФД, производится МЭК соответствия сведений, переданных в составе счета, сведениям в ФРМО и ФРМР, а также учет доступности коечного фонда МО.</w:t>
      </w:r>
    </w:p>
    <w:p w14:paraId="5EFB7A66">
      <w:pPr>
        <w:pStyle w:val="37"/>
      </w:pPr>
      <w:bookmarkStart w:id="69" w:name="_Toc225871489"/>
      <w:bookmarkStart w:id="70" w:name="_Toc150261757"/>
      <w:r>
        <w:t>Подготовка к работе</w:t>
      </w:r>
      <w:bookmarkEnd w:id="69"/>
      <w:bookmarkEnd w:id="70"/>
    </w:p>
    <w:p w14:paraId="70938839">
      <w:pPr>
        <w:pStyle w:val="38"/>
      </w:pPr>
      <w:bookmarkStart w:id="71" w:name="_Toc150261758"/>
      <w:bookmarkStart w:id="72" w:name="_Toc225871490"/>
      <w:r>
        <w:t>Состав и содержание дистрибутивного носителя данных</w:t>
      </w:r>
      <w:bookmarkEnd w:id="71"/>
      <w:bookmarkEnd w:id="72"/>
    </w:p>
    <w:p w14:paraId="66DDE57F">
      <w:pPr>
        <w:pStyle w:val="44"/>
      </w:pPr>
      <w:r>
        <w:t>Для работы с ФПУМП установочный дистрибутив не требуется.</w:t>
      </w:r>
    </w:p>
    <w:p w14:paraId="69BA1D77">
      <w:pPr>
        <w:pStyle w:val="38"/>
      </w:pPr>
      <w:bookmarkStart w:id="73" w:name="_Ref155705564"/>
      <w:bookmarkStart w:id="74" w:name="_Toc225871491"/>
      <w:bookmarkStart w:id="75" w:name="_Toc150261759"/>
      <w:r>
        <w:t>Предварительные условия</w:t>
      </w:r>
      <w:bookmarkEnd w:id="73"/>
      <w:bookmarkEnd w:id="74"/>
      <w:bookmarkEnd w:id="75"/>
    </w:p>
    <w:p w14:paraId="24094063">
      <w:pPr>
        <w:pStyle w:val="44"/>
      </w:pPr>
      <w:r>
        <w:t>Первоначальная настройка ФПУМП пользователем не требуется.</w:t>
      </w:r>
    </w:p>
    <w:p w14:paraId="11F7EDDC">
      <w:pPr>
        <w:pStyle w:val="44"/>
      </w:pPr>
      <w:bookmarkStart w:id="76" w:name="_Hlk155973331"/>
      <w:r>
        <w:t>До начала работы пользователю необходимо:</w:t>
      </w:r>
    </w:p>
    <w:p w14:paraId="6F6CC6DE">
      <w:pPr>
        <w:pStyle w:val="51"/>
      </w:pPr>
      <w:r>
        <w:t>ознакомиться с настоящим руководством;</w:t>
      </w:r>
    </w:p>
    <w:p w14:paraId="3B162A76">
      <w:pPr>
        <w:pStyle w:val="51"/>
      </w:pPr>
      <w:r>
        <w:t>получить доступ к ФПУМП.</w:t>
      </w:r>
    </w:p>
    <w:p w14:paraId="11718198">
      <w:pPr>
        <w:pStyle w:val="44"/>
      </w:pPr>
      <w:r>
        <w:t>Данные учетной записи пользователя (логин и пароль), а также ссылка для входа в подсистему предоставляются пользователю посредством электронной почты. Адресная рассылка с данными учетной записи осуществляется уполномоченными сотрудниками службы технической поддержки с адреса электронной почты GIS_OMS_Support@ffoms.gov.</w:t>
      </w:r>
    </w:p>
    <w:p w14:paraId="4A856914">
      <w:pPr>
        <w:pStyle w:val="44"/>
      </w:pPr>
      <w:r>
        <w:t>Права доступа разграничены для групп пользователей в соответствии с их правами и</w:t>
      </w:r>
      <w:r>
        <w:rPr>
          <w:lang w:val="en-US"/>
        </w:rPr>
        <w:t> </w:t>
      </w:r>
      <w:r>
        <w:t>полномочиями.</w:t>
      </w:r>
    </w:p>
    <w:p w14:paraId="11A7F828">
      <w:pPr>
        <w:pStyle w:val="44"/>
      </w:pPr>
      <w:r>
        <w:t>Использование учетной записи пользователя ФПУМП другими лицами недопустимо.</w:t>
      </w:r>
    </w:p>
    <w:p w14:paraId="73E7DD09">
      <w:pPr>
        <w:pStyle w:val="38"/>
      </w:pPr>
      <w:bookmarkStart w:id="77" w:name="_Toc225871492"/>
      <w:bookmarkStart w:id="78" w:name="_Ref142357128"/>
      <w:bookmarkStart w:id="79" w:name="_Ref133516119"/>
      <w:bookmarkStart w:id="80" w:name="_Toc150261760"/>
      <w:r>
        <w:t>Порядок запуска подсистемы</w:t>
      </w:r>
      <w:bookmarkEnd w:id="77"/>
      <w:bookmarkEnd w:id="78"/>
      <w:bookmarkEnd w:id="79"/>
      <w:bookmarkEnd w:id="80"/>
    </w:p>
    <w:p w14:paraId="1D70A350">
      <w:pPr>
        <w:pStyle w:val="44"/>
      </w:pPr>
      <w:r>
        <w:t>Для входа в подсистему на рабочем месте пользователя необходимо выполнить следующие действия:</w:t>
      </w:r>
      <w:bookmarkStart w:id="81" w:name="_Toc130565805"/>
      <w:bookmarkEnd w:id="81"/>
      <w:bookmarkStart w:id="82" w:name="_Toc130630546"/>
      <w:bookmarkEnd w:id="82"/>
      <w:bookmarkStart w:id="83" w:name="_Toc130575003"/>
      <w:bookmarkEnd w:id="83"/>
      <w:bookmarkStart w:id="84" w:name="_Toc130572240"/>
      <w:bookmarkEnd w:id="84"/>
      <w:bookmarkStart w:id="85" w:name="_Toc130574885"/>
      <w:bookmarkEnd w:id="85"/>
      <w:bookmarkStart w:id="86" w:name="_Toc130575114"/>
      <w:bookmarkEnd w:id="86"/>
    </w:p>
    <w:p w14:paraId="0535EFEF">
      <w:pPr>
        <w:pStyle w:val="50"/>
        <w:numPr>
          <w:ilvl w:val="0"/>
          <w:numId w:val="11"/>
        </w:numPr>
      </w:pPr>
      <w:r>
        <w:t>запустить веб-браузер</w:t>
      </w:r>
      <w:bookmarkStart w:id="87" w:name="_Toc130574886"/>
      <w:bookmarkEnd w:id="87"/>
      <w:bookmarkStart w:id="88" w:name="_Toc130572241"/>
      <w:bookmarkEnd w:id="88"/>
      <w:bookmarkStart w:id="89" w:name="_Toc130575004"/>
      <w:bookmarkEnd w:id="89"/>
      <w:bookmarkStart w:id="90" w:name="_Toc130565806"/>
      <w:bookmarkEnd w:id="90"/>
      <w:bookmarkStart w:id="91" w:name="_Toc130575115"/>
      <w:bookmarkEnd w:id="91"/>
      <w:bookmarkStart w:id="92" w:name="_Toc130630547"/>
      <w:bookmarkEnd w:id="92"/>
      <w:r>
        <w:t xml:space="preserve"> и ввести в адресной строке адрес ФПУМП</w:t>
      </w:r>
    </w:p>
    <w:p w14:paraId="01425C53">
      <w:pPr>
        <w:pStyle w:val="50"/>
      </w:pPr>
      <w:r>
        <w:t>для авторизации посредством ЕСИА в открывшемся окне входа в подсистему (рис. </w:t>
      </w:r>
      <w:r>
        <w:fldChar w:fldCharType="begin"/>
      </w:r>
      <w:r>
        <w:instrText xml:space="preserve"> REF  _Ref119868225 \h\#\0  \* MERGEFORMAT </w:instrText>
      </w:r>
      <w:r>
        <w:fldChar w:fldCharType="separate"/>
      </w:r>
      <w:r>
        <w:t>1</w:t>
      </w:r>
      <w:r>
        <w:fldChar w:fldCharType="end"/>
      </w:r>
      <w:r>
        <w:t>) нажать кнопку «Войти через ЕСИА», затем выполнить шаги из инструкции по авторизации в ЕСИА;</w:t>
      </w:r>
    </w:p>
    <w:p w14:paraId="69DC8DFA">
      <w:pPr>
        <w:pStyle w:val="46"/>
      </w:pPr>
      <w:r>
        <w:rPr>
          <w:rStyle w:val="47"/>
        </w:rPr>
        <w:t>Примечание</w:t>
      </w:r>
      <w:r>
        <w:t xml:space="preserve"> — для авторизации посредством ЕСИА руководитель организации должен настроить учетную запись пользователя для данной организации в ЕСИА.</w:t>
      </w:r>
    </w:p>
    <w:p w14:paraId="4D3FA802">
      <w:pPr>
        <w:pStyle w:val="50"/>
      </w:pPr>
      <w:r>
        <w:t>для авторизации посредством сервиса IAM ЕЦП «ГосТех» ввести данные учетной записи (логин и пароль) и нажать кнопку «Войти» (рис. </w:t>
      </w:r>
      <w:r>
        <w:fldChar w:fldCharType="begin"/>
      </w:r>
      <w:r>
        <w:instrText xml:space="preserve"> REF  _Ref119868225 \h\#\0  \* MERGEFORMAT </w:instrText>
      </w:r>
      <w:r>
        <w:fldChar w:fldCharType="separate"/>
      </w:r>
      <w:r>
        <w:t>1</w:t>
      </w:r>
      <w:r>
        <w:fldChar w:fldCharType="end"/>
      </w:r>
      <w:r>
        <w:t>).</w:t>
      </w:r>
    </w:p>
    <w:p w14:paraId="1E1D2128">
      <w:pPr>
        <w:pStyle w:val="48"/>
      </w:pPr>
      <w:r>
        <w:drawing>
          <wp:inline distT="0" distB="0" distL="0" distR="0">
            <wp:extent cx="2231390" cy="2887345"/>
            <wp:effectExtent l="19050" t="19050" r="16510" b="27305"/>
            <wp:docPr id="826798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798681" name="Рисунок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874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E8DB97F">
      <w:pPr>
        <w:pStyle w:val="49"/>
      </w:pPr>
      <w:bookmarkStart w:id="93" w:name="_Ref119868225"/>
      <w:bookmarkStart w:id="94" w:name="_Ref1198682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</w:t>
      </w:r>
      <w:r>
        <w:fldChar w:fldCharType="end"/>
      </w:r>
      <w:bookmarkEnd w:id="93"/>
      <w:r>
        <w:t xml:space="preserve"> — Окно входа в подсистему</w:t>
      </w:r>
      <w:bookmarkEnd w:id="94"/>
    </w:p>
    <w:p w14:paraId="7E121F4A">
      <w:pPr>
        <w:pStyle w:val="44"/>
        <w:rPr>
          <w:lang w:val="en-US"/>
        </w:rPr>
      </w:pPr>
      <w:r>
        <w:t>При неправильном вводе логина и (или) пароля отобразится сообщение об ошибке (рис. </w:t>
      </w:r>
      <w:r>
        <w:fldChar w:fldCharType="begin"/>
      </w:r>
      <w:r>
        <w:instrText xml:space="preserve"> REF  _Ref139305806 \h\#\0   \* MERGEFORMAT </w:instrText>
      </w:r>
      <w:r>
        <w:fldChar w:fldCharType="separate"/>
      </w:r>
      <w:r>
        <w:t>2</w:t>
      </w:r>
      <w:r>
        <w:fldChar w:fldCharType="end"/>
      </w:r>
      <w:r>
        <w:t>). В этом случае следует повторить ввод данных, учитывая регистр и раскладку клавиатуры. Для восстановления пароля следует нажать «Восстановить пароль». Отобразится окно восстановления пароля (рис.</w:t>
      </w:r>
      <w:r>
        <w:fldChar w:fldCharType="begin"/>
      </w:r>
      <w:r>
        <w:instrText xml:space="preserve"> REF  _Ref224224967 \h \t \#\0 \* MERGEFORMAT </w:instrText>
      </w:r>
      <w:r>
        <w:fldChar w:fldCharType="separate"/>
      </w:r>
      <w:r>
        <w:t>3</w:t>
      </w:r>
      <w:r>
        <w:fldChar w:fldCharType="end"/>
      </w:r>
      <w:r>
        <w:t xml:space="preserve"> ).</w:t>
      </w:r>
    </w:p>
    <w:p w14:paraId="18475824">
      <w:pPr>
        <w:pStyle w:val="48"/>
      </w:pPr>
      <w:r>
        <w:drawing>
          <wp:inline distT="0" distB="0" distL="0" distR="0">
            <wp:extent cx="2231390" cy="2878455"/>
            <wp:effectExtent l="19050" t="19050" r="16510" b="17145"/>
            <wp:docPr id="10194422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42262" name="Рисунок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7855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40D131B">
      <w:pPr>
        <w:pStyle w:val="49"/>
      </w:pPr>
      <w:bookmarkStart w:id="95" w:name="_Ref1393058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</w:t>
      </w:r>
      <w:r>
        <w:fldChar w:fldCharType="end"/>
      </w:r>
      <w:bookmarkEnd w:id="95"/>
      <w:r>
        <w:t xml:space="preserve"> — Сообщение об ошибке при входе в подсистему</w:t>
      </w:r>
    </w:p>
    <w:p w14:paraId="04A2A4DD">
      <w:pPr>
        <w:pStyle w:val="44"/>
      </w:pPr>
      <w:r>
        <w:t>В окне восстановления пароля заполнить поле «Имя пользователя» и нажать на кнопку «Подтвердить». На почтовый ящик будет направлено сообщение, содержащее новый пароль.</w:t>
      </w:r>
    </w:p>
    <w:p w14:paraId="6E9B72A5">
      <w:pPr>
        <w:pStyle w:val="48"/>
      </w:pPr>
      <w:r>
        <w:drawing>
          <wp:inline distT="0" distB="0" distL="0" distR="0">
            <wp:extent cx="2231390" cy="2822575"/>
            <wp:effectExtent l="19050" t="19050" r="16510" b="15875"/>
            <wp:docPr id="6499088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908828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28225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C8A2544">
      <w:pPr>
        <w:pStyle w:val="49"/>
        <w:rPr>
          <w:lang w:val="en-US"/>
        </w:rPr>
      </w:pPr>
      <w:bookmarkStart w:id="96" w:name="_Ref2242249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</w:t>
      </w:r>
      <w:r>
        <w:fldChar w:fldCharType="end"/>
      </w:r>
      <w:bookmarkEnd w:id="96"/>
      <w:r>
        <w:t xml:space="preserve"> — Окно восстановления пароля</w:t>
      </w:r>
    </w:p>
    <w:p w14:paraId="3AC48F53">
      <w:pPr>
        <w:pStyle w:val="50"/>
      </w:pPr>
      <w:r>
        <w:t xml:space="preserve">для пользователя с ролью куратор, необходимо обозначить курируемую МО. Для этого в окне «Выберите организацию» (рис. </w:t>
      </w:r>
      <w:r>
        <w:fldChar w:fldCharType="begin"/>
      </w:r>
      <w:r>
        <w:instrText xml:space="preserve"> REF  _Ref224225499 \h \t \#\0 \* MERGEFORMAT </w:instrText>
      </w:r>
      <w:r>
        <w:fldChar w:fldCharType="separate"/>
      </w:r>
      <w:r>
        <w:t>4</w:t>
      </w:r>
      <w:r>
        <w:fldChar w:fldCharType="end"/>
      </w:r>
      <w:r>
        <w:t>), в поле «Выберите организацию для входа» укажите значение из раскрывающегося справочника.</w:t>
      </w:r>
    </w:p>
    <w:p w14:paraId="21BB3307">
      <w:pPr>
        <w:pStyle w:val="48"/>
      </w:pPr>
      <w:r>
        <w:drawing>
          <wp:inline distT="0" distB="0" distL="0" distR="0">
            <wp:extent cx="4334510" cy="2261870"/>
            <wp:effectExtent l="19050" t="19050" r="27940" b="24130"/>
            <wp:docPr id="17670508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0508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4510" cy="226187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A15F26">
      <w:pPr>
        <w:pStyle w:val="49"/>
      </w:pPr>
      <w:bookmarkStart w:id="97" w:name="_Ref2242254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</w:t>
      </w:r>
      <w:r>
        <w:fldChar w:fldCharType="end"/>
      </w:r>
      <w:bookmarkEnd w:id="97"/>
      <w:r>
        <w:t xml:space="preserve"> — Выбор курируемой организации для роли куратора</w:t>
      </w:r>
    </w:p>
    <w:p w14:paraId="3ACBF2D9">
      <w:pPr>
        <w:pStyle w:val="50"/>
        <w:rPr>
          <w:shd w:val="clear" w:color="auto" w:fill="auto"/>
          <w:lang w:eastAsia="en-US"/>
        </w:rPr>
      </w:pPr>
      <w:r>
        <w:rPr>
          <w:shd w:val="clear" w:color="auto" w:fill="auto"/>
          <w:lang w:eastAsia="en-US"/>
        </w:rPr>
        <w:t xml:space="preserve">при успешном прохождении процедуры регистрации в подсистеме откроется стартовая страница ФПУМП (рис. </w:t>
      </w:r>
      <w:r>
        <w:rPr>
          <w:shd w:val="clear" w:color="auto" w:fill="auto"/>
          <w:lang w:eastAsia="en-US"/>
        </w:rPr>
        <w:fldChar w:fldCharType="begin"/>
      </w:r>
      <w:r>
        <w:rPr>
          <w:shd w:val="clear" w:color="auto" w:fill="auto"/>
          <w:lang w:eastAsia="en-US"/>
        </w:rPr>
        <w:instrText xml:space="preserve"> REF  _Ref143763117 \h \t \#\0 \* MERGEFORMAT </w:instrText>
      </w:r>
      <w:r>
        <w:rPr>
          <w:shd w:val="clear" w:color="auto" w:fill="auto"/>
          <w:lang w:eastAsia="en-US"/>
        </w:rPr>
        <w:fldChar w:fldCharType="separate"/>
      </w:r>
      <w:r>
        <w:rPr>
          <w:shd w:val="clear" w:color="auto" w:fill="auto"/>
          <w:lang w:eastAsia="en-US"/>
        </w:rPr>
        <w:t>5</w:t>
      </w:r>
      <w:r>
        <w:rPr>
          <w:shd w:val="clear" w:color="auto" w:fill="auto"/>
          <w:lang w:eastAsia="en-US"/>
        </w:rPr>
        <w:fldChar w:fldCharType="end"/>
      </w:r>
      <w:r>
        <w:rPr>
          <w:shd w:val="clear" w:color="auto" w:fill="auto"/>
          <w:lang w:eastAsia="en-US"/>
        </w:rPr>
        <w:t>). В верхней правой части экрана отобразятся данные пользователя, от имени которого осуществлен вход в подсистему, — код и краткое наименование организации пользователя.</w:t>
      </w:r>
    </w:p>
    <w:p w14:paraId="3D303198">
      <w:pPr>
        <w:pStyle w:val="48"/>
      </w:pPr>
      <w:r>
        <w:drawing>
          <wp:inline distT="0" distB="0" distL="0" distR="0">
            <wp:extent cx="6119495" cy="3234690"/>
            <wp:effectExtent l="19050" t="19050" r="14605" b="22860"/>
            <wp:docPr id="15485577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557770" name="Рисунок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346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EB67FC">
      <w:pPr>
        <w:pStyle w:val="49"/>
      </w:pPr>
      <w:bookmarkStart w:id="98" w:name="_Ref1437631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</w:t>
      </w:r>
      <w:r>
        <w:fldChar w:fldCharType="end"/>
      </w:r>
      <w:bookmarkEnd w:id="98"/>
      <w:r>
        <w:t xml:space="preserve"> — Стартовое окно ФПУМП. АРМ сотрудника МО</w:t>
      </w:r>
    </w:p>
    <w:p w14:paraId="3DD227D9">
      <w:pPr>
        <w:pStyle w:val="44"/>
        <w:rPr>
          <w:lang w:val="en-US"/>
        </w:rPr>
      </w:pPr>
      <w:r>
        <w:t xml:space="preserve">Описание стартовой страницы ФПУМП приведено в п. </w:t>
      </w:r>
      <w:r>
        <w:fldChar w:fldCharType="begin"/>
      </w:r>
      <w:r>
        <w:instrText xml:space="preserve"> REF _Ref143706072 \n \h  \* MERGEFORMAT </w:instrText>
      </w:r>
      <w:r>
        <w:fldChar w:fldCharType="separate"/>
      </w:r>
      <w:r>
        <w:t>3.6.1</w:t>
      </w:r>
      <w:r>
        <w:fldChar w:fldCharType="end"/>
      </w:r>
      <w:r>
        <w:t>.</w:t>
      </w:r>
    </w:p>
    <w:bookmarkEnd w:id="76"/>
    <w:p w14:paraId="3ED5B287">
      <w:pPr>
        <w:pStyle w:val="38"/>
      </w:pPr>
      <w:bookmarkStart w:id="99" w:name="_Toc142358041"/>
      <w:bookmarkEnd w:id="99"/>
      <w:bookmarkStart w:id="100" w:name="_Toc142389664"/>
      <w:bookmarkEnd w:id="100"/>
      <w:bookmarkStart w:id="101" w:name="_Toc225871493"/>
      <w:bookmarkStart w:id="102" w:name="_Toc150261761"/>
      <w:r>
        <w:t>Завершение работы</w:t>
      </w:r>
      <w:bookmarkEnd w:id="101"/>
      <w:bookmarkEnd w:id="102"/>
    </w:p>
    <w:p w14:paraId="272EBC90">
      <w:pPr>
        <w:pStyle w:val="44"/>
      </w:pPr>
      <w:r>
        <w:t xml:space="preserve">Для завершения работы с подсистемой необходимо нажать на область отображения данных пользователя в верхней правой части экрана (рис. </w:t>
      </w:r>
      <w:r>
        <w:fldChar w:fldCharType="begin"/>
      </w:r>
      <w:r>
        <w:instrText xml:space="preserve"> REF  _Ref143701822 \h\#\0   \* MERGEFORMAT </w:instrText>
      </w:r>
      <w:r>
        <w:fldChar w:fldCharType="separate"/>
      </w:r>
      <w:r>
        <w:t>6</w:t>
      </w:r>
      <w:r>
        <w:fldChar w:fldCharType="end"/>
      </w:r>
      <w:r>
        <w:t>) и нажать кнопку «Выйти».</w:t>
      </w:r>
    </w:p>
    <w:p w14:paraId="74F9F0E1">
      <w:pPr>
        <w:pStyle w:val="48"/>
      </w:pPr>
      <w:r>
        <w:drawing>
          <wp:inline distT="0" distB="0" distL="0" distR="0">
            <wp:extent cx="6119495" cy="927735"/>
            <wp:effectExtent l="19050" t="19050" r="14605" b="24765"/>
            <wp:docPr id="15686296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629608" name="Рисунок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277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8C73B6">
      <w:pPr>
        <w:pStyle w:val="49"/>
      </w:pPr>
      <w:bookmarkStart w:id="103" w:name="_Ref1437018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</w:t>
      </w:r>
      <w:r>
        <w:fldChar w:fldCharType="end"/>
      </w:r>
      <w:bookmarkEnd w:id="103"/>
      <w:r>
        <w:t xml:space="preserve"> — Выход из ФПУМП</w:t>
      </w:r>
    </w:p>
    <w:p w14:paraId="18083608">
      <w:pPr>
        <w:pStyle w:val="44"/>
      </w:pPr>
      <w:r>
        <w:t>В случае, если в установленный на платформе «ГосТех» интервал времени пользователем не выполняются действия в подсистеме, сеанс работы пользователя завершается. Для продолжения работы в подсистеме пользователю необходимо повторно выполнить вход в подсистему в соответствии с п.</w:t>
      </w:r>
      <w:r>
        <w:fldChar w:fldCharType="begin"/>
      </w:r>
      <w:r>
        <w:instrText xml:space="preserve"> REF _Ref133516119 \n \h  \* MERGEFORMAT </w:instrText>
      </w:r>
      <w:r>
        <w:fldChar w:fldCharType="separate"/>
      </w:r>
      <w:r>
        <w:t>3.3</w:t>
      </w:r>
      <w:r>
        <w:fldChar w:fldCharType="end"/>
      </w:r>
      <w:r>
        <w:t>.</w:t>
      </w:r>
    </w:p>
    <w:p w14:paraId="253FCFBB">
      <w:pPr>
        <w:pStyle w:val="38"/>
      </w:pPr>
      <w:bookmarkStart w:id="104" w:name="_Toc225871494"/>
      <w:bookmarkStart w:id="105" w:name="_Toc150261762"/>
      <w:r>
        <w:t>Порядок проверки работоспособности</w:t>
      </w:r>
      <w:bookmarkEnd w:id="104"/>
      <w:bookmarkEnd w:id="105"/>
    </w:p>
    <w:p w14:paraId="1C10FEC5">
      <w:pPr>
        <w:pStyle w:val="44"/>
      </w:pPr>
      <w:r>
        <w:t>Для проверки работоспособности подсистемы необходимо:</w:t>
      </w:r>
    </w:p>
    <w:p w14:paraId="530A8A21">
      <w:pPr>
        <w:pStyle w:val="50"/>
        <w:numPr>
          <w:ilvl w:val="0"/>
          <w:numId w:val="12"/>
        </w:numPr>
      </w:pPr>
      <w:r>
        <w:t>выполнить вход в подсистему, пройдя процедуру авторизации;</w:t>
      </w:r>
    </w:p>
    <w:p w14:paraId="56620787">
      <w:pPr>
        <w:pStyle w:val="50"/>
      </w:pPr>
      <w:r>
        <w:t>осуществить последовательный переход по вкладкам:</w:t>
      </w:r>
    </w:p>
    <w:p w14:paraId="09C7A355">
      <w:pPr>
        <w:pStyle w:val="52"/>
      </w:pPr>
      <w:r>
        <w:t>«Реестр СЭФД»;</w:t>
      </w:r>
    </w:p>
    <w:p w14:paraId="4AD1ACD3">
      <w:pPr>
        <w:pStyle w:val="52"/>
      </w:pPr>
      <w:r>
        <w:t>«Реестр счетов»;</w:t>
      </w:r>
    </w:p>
    <w:p w14:paraId="68DFF64A">
      <w:pPr>
        <w:pStyle w:val="52"/>
      </w:pPr>
      <w:r>
        <w:t>«Реестр направлений»;</w:t>
      </w:r>
    </w:p>
    <w:p w14:paraId="72F85457">
      <w:pPr>
        <w:pStyle w:val="52"/>
      </w:pPr>
      <w:r>
        <w:t>«Экспертиза»;</w:t>
      </w:r>
    </w:p>
    <w:p w14:paraId="3BC8772E">
      <w:pPr>
        <w:pStyle w:val="52"/>
      </w:pPr>
      <w:r>
        <w:t>«Мониторинг».</w:t>
      </w:r>
    </w:p>
    <w:p w14:paraId="1490F701">
      <w:pPr>
        <w:pStyle w:val="44"/>
      </w:pPr>
      <w:r>
        <w:t xml:space="preserve">При корректном вводе учетных данных должна отобразиться стартовая страница ФПУМП. При выборе вкладки осуществляется успешный переход в раздел. Подсистема должна реагировать на запросы пользователя, отображая </w:t>
      </w:r>
      <w:bookmarkStart w:id="106" w:name="_Hlk155973505"/>
      <w:r>
        <w:t xml:space="preserve">соответствующую </w:t>
      </w:r>
      <w:bookmarkEnd w:id="106"/>
      <w:r>
        <w:t>форму.</w:t>
      </w:r>
    </w:p>
    <w:p w14:paraId="03350637">
      <w:pPr>
        <w:pStyle w:val="38"/>
      </w:pPr>
      <w:bookmarkStart w:id="107" w:name="_Toc225871495"/>
      <w:bookmarkStart w:id="108" w:name="_Toc150261763"/>
      <w:r>
        <w:t>Описание интерфейса</w:t>
      </w:r>
      <w:bookmarkEnd w:id="107"/>
      <w:bookmarkEnd w:id="108"/>
    </w:p>
    <w:p w14:paraId="243C1485">
      <w:pPr>
        <w:pStyle w:val="44"/>
      </w:pPr>
      <w:r>
        <w:t>Интерфейс ФПУМП реализован с применением стандартных графических и интерактивных элементов: окон, вкладок, текстовых полей, табличных форм, списков, кнопок, меню, переключателей, ссылок и др.</w:t>
      </w:r>
    </w:p>
    <w:p w14:paraId="2FEBF010">
      <w:pPr>
        <w:pStyle w:val="46"/>
      </w:pPr>
      <w:r>
        <w:rPr>
          <w:rStyle w:val="47"/>
        </w:rPr>
        <w:t xml:space="preserve">Примечание </w:t>
      </w:r>
      <w:r>
        <w:t>— Некоторые функции, описанные в настоящем руководстве, могут быть недоступны пользователю. Это определяется правами доступа, установленными для конкретного пользователя (роли пользователя).</w:t>
      </w:r>
    </w:p>
    <w:p w14:paraId="096553B5">
      <w:pPr>
        <w:pStyle w:val="39"/>
      </w:pPr>
      <w:bookmarkStart w:id="109" w:name="_Toc139305860"/>
      <w:bookmarkStart w:id="110" w:name="_Ref143706072"/>
      <w:bookmarkStart w:id="111" w:name="_Toc150261764"/>
      <w:bookmarkStart w:id="112" w:name="_Toc225871496"/>
      <w:r>
        <w:t>Стартовая страница</w:t>
      </w:r>
      <w:bookmarkEnd w:id="109"/>
      <w:r>
        <w:t xml:space="preserve"> </w:t>
      </w:r>
      <w:r>
        <w:rPr>
          <w:rFonts w:eastAsia="Arial Unicode MS"/>
        </w:rPr>
        <w:t>ФПУМП</w:t>
      </w:r>
      <w:bookmarkEnd w:id="110"/>
      <w:bookmarkEnd w:id="111"/>
      <w:bookmarkEnd w:id="112"/>
    </w:p>
    <w:p w14:paraId="0F48FB95">
      <w:pPr>
        <w:pStyle w:val="44"/>
        <w:rPr>
          <w:rFonts w:eastAsia="Arial Unicode MS"/>
        </w:rPr>
      </w:pPr>
      <w:r>
        <w:rPr>
          <w:rFonts w:eastAsia="Arial Unicode MS"/>
        </w:rPr>
        <w:t xml:space="preserve">При успешном входе в ФПУМП открывается стартовая страница ФПУМП </w:t>
      </w:r>
      <w:r>
        <w:t xml:space="preserve">(рис. </w:t>
      </w:r>
      <w:r>
        <w:fldChar w:fldCharType="begin"/>
      </w:r>
      <w:r>
        <w:instrText xml:space="preserve"> REF  _Ref119873147 \h\#\0   \* MERGEFORMAT </w:instrText>
      </w:r>
      <w:r>
        <w:fldChar w:fldCharType="separate"/>
      </w:r>
      <w:r>
        <w:t>7</w:t>
      </w:r>
      <w:r>
        <w:fldChar w:fldCharType="end"/>
      </w:r>
      <w:r>
        <w:t>)</w:t>
      </w:r>
      <w:r>
        <w:rPr>
          <w:rFonts w:eastAsia="Arial Unicode MS"/>
        </w:rPr>
        <w:t>.</w:t>
      </w:r>
    </w:p>
    <w:p w14:paraId="7DE838C6">
      <w:pPr>
        <w:pStyle w:val="44"/>
        <w:rPr>
          <w:rFonts w:eastAsia="Arial Unicode MS"/>
        </w:rPr>
      </w:pPr>
      <w:r>
        <w:rPr>
          <w:rFonts w:eastAsia="Arial Unicode MS"/>
        </w:rPr>
        <w:t>Данные пользователя, от имени которого осуществлен вход в подсистему, отображаются в правой верхней части окна</w:t>
      </w:r>
      <w:r>
        <w:t>.</w:t>
      </w:r>
    </w:p>
    <w:p w14:paraId="50D7063B">
      <w:pPr>
        <w:pStyle w:val="44"/>
      </w:pPr>
      <w:r>
        <w:rPr>
          <w:rFonts w:eastAsia="Arial Unicode MS"/>
        </w:rPr>
        <w:t xml:space="preserve">Все страницы содержат </w:t>
      </w:r>
      <w:r>
        <w:t>следующие основные блоки:</w:t>
      </w:r>
    </w:p>
    <w:p w14:paraId="6416DA7A">
      <w:pPr>
        <w:pStyle w:val="50"/>
        <w:numPr>
          <w:ilvl w:val="0"/>
          <w:numId w:val="13"/>
        </w:numPr>
      </w:pPr>
      <w:r>
        <w:t xml:space="preserve">лента главного меню (см. </w:t>
      </w:r>
      <w:r>
        <w:fldChar w:fldCharType="begin"/>
      </w:r>
      <w:r>
        <w:instrText xml:space="preserve"> REF _Ref143780708 \n \h  \* MERGEFORMAT </w:instrText>
      </w:r>
      <w:r>
        <w:fldChar w:fldCharType="separate"/>
      </w:r>
      <w:r>
        <w:t>3.6.3</w:t>
      </w:r>
      <w:r>
        <w:fldChar w:fldCharType="end"/>
      </w:r>
      <w:r>
        <w:t>);</w:t>
      </w:r>
    </w:p>
    <w:p w14:paraId="78EE59E1">
      <w:pPr>
        <w:pStyle w:val="50"/>
        <w:numPr>
          <w:ilvl w:val="0"/>
          <w:numId w:val="13"/>
        </w:numPr>
      </w:pPr>
      <w:r>
        <w:t xml:space="preserve">область отображения данных пользователя (см. </w:t>
      </w:r>
      <w:r>
        <w:fldChar w:fldCharType="begin"/>
      </w:r>
      <w:r>
        <w:instrText xml:space="preserve"> REF _Ref203489767 \n \h </w:instrText>
      </w:r>
      <w:r>
        <w:fldChar w:fldCharType="separate"/>
      </w:r>
      <w:r>
        <w:t>3.6.2</w:t>
      </w:r>
      <w:r>
        <w:fldChar w:fldCharType="end"/>
      </w:r>
      <w:r>
        <w:t>);</w:t>
      </w:r>
    </w:p>
    <w:p w14:paraId="5BC85A61">
      <w:pPr>
        <w:pStyle w:val="50"/>
      </w:pPr>
      <w:r>
        <w:t xml:space="preserve">панель фильтрации и поиска информации (см. </w:t>
      </w:r>
      <w:r>
        <w:fldChar w:fldCharType="begin"/>
      </w:r>
      <w:r>
        <w:instrText xml:space="preserve"> REF _Ref143780723 \n \h  \* MERGEFORMAT </w:instrText>
      </w:r>
      <w:r>
        <w:fldChar w:fldCharType="separate"/>
      </w:r>
      <w:r>
        <w:t>3.6.4</w:t>
      </w:r>
      <w:r>
        <w:fldChar w:fldCharType="end"/>
      </w:r>
      <w:r>
        <w:t>);</w:t>
      </w:r>
    </w:p>
    <w:p w14:paraId="30400FD5">
      <w:pPr>
        <w:pStyle w:val="50"/>
      </w:pPr>
      <w:r>
        <w:t xml:space="preserve">рабочая область — блок ввода и вывода информации (см. </w:t>
      </w:r>
      <w:r>
        <w:fldChar w:fldCharType="begin"/>
      </w:r>
      <w:r>
        <w:instrText xml:space="preserve"> REF _Ref206077207 \n \h </w:instrText>
      </w:r>
      <w:r>
        <w:fldChar w:fldCharType="separate"/>
      </w:r>
      <w:r>
        <w:t>3.6.5</w:t>
      </w:r>
      <w:r>
        <w:fldChar w:fldCharType="end"/>
      </w:r>
      <w:r>
        <w:t>).</w:t>
      </w:r>
    </w:p>
    <w:p w14:paraId="04BED072">
      <w:pPr>
        <w:pStyle w:val="48"/>
      </w:pPr>
      <w:r>
        <w:rPr>
          <w14:ligatures w14:val="standardContextual"/>
        </w:rPr>
        <w:drawing>
          <wp:inline distT="0" distB="0" distL="0" distR="0">
            <wp:extent cx="5759450" cy="2754630"/>
            <wp:effectExtent l="19050" t="19050" r="12700" b="26670"/>
            <wp:docPr id="16590059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005906" name="Рисунок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75478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E5FE93A">
      <w:pPr>
        <w:pStyle w:val="49"/>
      </w:pPr>
      <w:bookmarkStart w:id="113" w:name="_Ref11987314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</w:t>
      </w:r>
      <w:r>
        <w:fldChar w:fldCharType="end"/>
      </w:r>
      <w:bookmarkEnd w:id="113"/>
      <w:r>
        <w:t xml:space="preserve"> — Стартовая страница ФПУМП</w:t>
      </w:r>
    </w:p>
    <w:p w14:paraId="5C4FF26E">
      <w:pPr>
        <w:pStyle w:val="44"/>
      </w:pPr>
      <w:r>
        <w:t xml:space="preserve">Для получения справочной информации по работе с ФПУМП нажать </w:t>
      </w:r>
      <w:r>
        <w:drawing>
          <wp:inline distT="0" distB="0" distL="0" distR="0">
            <wp:extent cx="215900" cy="215900"/>
            <wp:effectExtent l="19050" t="19050" r="12700" b="12700"/>
            <wp:docPr id="965276979" name="Рисунок 965276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76979" name="Рисунок 96527697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значок справки в правом верхнем углу экрана.</w:t>
      </w:r>
    </w:p>
    <w:p w14:paraId="3ECFAC4C">
      <w:pPr>
        <w:pStyle w:val="39"/>
        <w:rPr>
          <w:lang w:val="en-US"/>
        </w:rPr>
      </w:pPr>
      <w:bookmarkStart w:id="114" w:name="_Toc225871497"/>
      <w:bookmarkStart w:id="115" w:name="_Toc206076544"/>
      <w:bookmarkStart w:id="116" w:name="_Ref203489767"/>
      <w:bookmarkStart w:id="117" w:name="_Hlk205830869"/>
      <w:r>
        <w:t>Область отображения данных пользователя</w:t>
      </w:r>
      <w:bookmarkEnd w:id="114"/>
      <w:bookmarkEnd w:id="115"/>
      <w:bookmarkEnd w:id="116"/>
    </w:p>
    <w:p w14:paraId="4011C044">
      <w:pPr>
        <w:pStyle w:val="44"/>
      </w:pPr>
      <w:r>
        <w:t>При наведении курсора на область отображения данных пользователя отображаются сведения об организации пользователя (территориальном фонде ОМС):</w:t>
      </w:r>
    </w:p>
    <w:p w14:paraId="0409D6AF">
      <w:pPr>
        <w:pStyle w:val="51"/>
      </w:pPr>
      <w:r>
        <w:t>«Тип организации»;</w:t>
      </w:r>
    </w:p>
    <w:p w14:paraId="087DB339">
      <w:pPr>
        <w:pStyle w:val="51"/>
      </w:pPr>
      <w:r>
        <w:t>«Организация» — код и краткое наименование организации;</w:t>
      </w:r>
    </w:p>
    <w:p w14:paraId="5951354C">
      <w:pPr>
        <w:pStyle w:val="51"/>
      </w:pPr>
      <w:r>
        <w:t>«Субъект» — код и наименование субъекта (региона);</w:t>
      </w:r>
    </w:p>
    <w:p w14:paraId="1B76892A">
      <w:pPr>
        <w:pStyle w:val="103"/>
        <w:numPr>
          <w:ilvl w:val="0"/>
          <w:numId w:val="5"/>
        </w:numPr>
        <w:ind w:left="0"/>
      </w:pPr>
      <w:r>
        <w:t>роль пользователя.</w:t>
      </w:r>
    </w:p>
    <w:p w14:paraId="2D78E0F5">
      <w:pPr>
        <w:pStyle w:val="44"/>
      </w:pPr>
      <w:r>
        <w:t xml:space="preserve">Пример отображения сведений для роли Оператор МО приведен на рисунке </w:t>
      </w:r>
      <w:r>
        <w:fldChar w:fldCharType="begin"/>
      </w:r>
      <w:r>
        <w:instrText xml:space="preserve"> REF  _Ref202352881 \h\#\0   \* MERGEFORMAT </w:instrText>
      </w:r>
      <w:r>
        <w:fldChar w:fldCharType="separate"/>
      </w:r>
      <w:r>
        <w:t>8</w:t>
      </w:r>
      <w:r>
        <w:fldChar w:fldCharType="end"/>
      </w:r>
      <w:r>
        <w:t>.</w:t>
      </w:r>
    </w:p>
    <w:p w14:paraId="115AE289">
      <w:pPr>
        <w:pStyle w:val="48"/>
      </w:pPr>
      <w:r>
        <w:rPr>
          <w14:ligatures w14:val="standardContextual"/>
        </w:rPr>
        <w:drawing>
          <wp:inline distT="0" distB="0" distL="0" distR="0">
            <wp:extent cx="2699385" cy="2005965"/>
            <wp:effectExtent l="19050" t="19050" r="24765" b="13335"/>
            <wp:docPr id="4040165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016569" name="Рисунок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0635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B158D7">
      <w:pPr>
        <w:pStyle w:val="49"/>
      </w:pPr>
      <w:bookmarkStart w:id="118" w:name="_Ref2023528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</w:t>
      </w:r>
      <w:r>
        <w:fldChar w:fldCharType="end"/>
      </w:r>
      <w:bookmarkEnd w:id="118"/>
      <w:r>
        <w:t xml:space="preserve"> — Область отображения данных пользователя</w:t>
      </w:r>
    </w:p>
    <w:p w14:paraId="013F6191">
      <w:pPr>
        <w:pStyle w:val="44"/>
      </w:pPr>
      <w:r>
        <w:t xml:space="preserve">Пример отображения сведений, включающих информацию о филиале МО и о головной МО приведен на рисунке </w:t>
      </w:r>
      <w:r>
        <w:fldChar w:fldCharType="begin"/>
      </w:r>
      <w:r>
        <w:instrText xml:space="preserve"> REF  _Ref224210714 \h \t \#\0 \* MERGEFORMAT </w:instrText>
      </w:r>
      <w:r>
        <w:fldChar w:fldCharType="separate"/>
      </w:r>
      <w:r>
        <w:t>9</w:t>
      </w:r>
      <w:r>
        <w:fldChar w:fldCharType="end"/>
      </w:r>
      <w:r>
        <w:t>.</w:t>
      </w:r>
    </w:p>
    <w:p w14:paraId="778E9917">
      <w:pPr>
        <w:pStyle w:val="48"/>
      </w:pPr>
      <w:r>
        <w:rPr>
          <w14:ligatures w14:val="standardContextual"/>
        </w:rPr>
        <w:drawing>
          <wp:inline distT="0" distB="0" distL="0" distR="0">
            <wp:extent cx="2699385" cy="2280285"/>
            <wp:effectExtent l="19050" t="19050" r="24765" b="24765"/>
            <wp:docPr id="12477972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797218" name="Рисунок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28031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940802">
      <w:pPr>
        <w:pStyle w:val="49"/>
      </w:pPr>
      <w:bookmarkStart w:id="119" w:name="_Ref2242107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</w:t>
      </w:r>
      <w:r>
        <w:fldChar w:fldCharType="end"/>
      </w:r>
      <w:bookmarkEnd w:id="119"/>
      <w:r>
        <w:t xml:space="preserve"> — Область отображения данных пользователя с информацией о филиале и головной МО</w:t>
      </w:r>
    </w:p>
    <w:bookmarkEnd w:id="117"/>
    <w:p w14:paraId="09A5AC5A">
      <w:pPr>
        <w:pStyle w:val="39"/>
        <w:rPr>
          <w:rFonts w:eastAsia="Arial Unicode MS"/>
        </w:rPr>
      </w:pPr>
      <w:bookmarkStart w:id="120" w:name="_Toc225871498"/>
      <w:bookmarkStart w:id="121" w:name="_Toc150261765"/>
      <w:bookmarkStart w:id="122" w:name="_Ref143780708"/>
      <w:bookmarkStart w:id="123" w:name="_Hlk143694814"/>
      <w:r>
        <w:rPr>
          <w:rFonts w:eastAsia="Arial Unicode MS"/>
        </w:rPr>
        <w:t>Лента главного меню</w:t>
      </w:r>
      <w:bookmarkEnd w:id="120"/>
      <w:bookmarkEnd w:id="121"/>
      <w:bookmarkEnd w:id="122"/>
    </w:p>
    <w:bookmarkEnd w:id="123"/>
    <w:p w14:paraId="33D19CD0">
      <w:pPr>
        <w:pStyle w:val="44"/>
        <w:rPr>
          <w:rFonts w:eastAsia="Arial Unicode MS"/>
        </w:rPr>
      </w:pPr>
      <w:r>
        <w:rPr>
          <w:rFonts w:eastAsia="Arial Unicode MS"/>
        </w:rPr>
        <w:t xml:space="preserve">Лента главного меню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_Ref146187597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10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 содержит следующие управляющие элементы и вкладки:</w:t>
      </w:r>
    </w:p>
    <w:p w14:paraId="0B79A02C">
      <w:pPr>
        <w:pStyle w:val="51"/>
      </w:pPr>
      <w:r>
        <w:drawing>
          <wp:inline distT="0" distB="0" distL="0" distR="0">
            <wp:extent cx="215900" cy="215900"/>
            <wp:effectExtent l="19050" t="19050" r="12700" b="12700"/>
            <wp:docPr id="19114238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423858" name="Рисунок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(«Добавить»);</w:t>
      </w:r>
    </w:p>
    <w:p w14:paraId="54026BD5">
      <w:pPr>
        <w:pStyle w:val="51"/>
      </w:pPr>
      <w:r>
        <w:t>«Все разделы»;</w:t>
      </w:r>
    </w:p>
    <w:p w14:paraId="7BEFBEE4">
      <w:pPr>
        <w:pStyle w:val="51"/>
      </w:pPr>
      <w:r>
        <w:t>«Реестр СЭФД»;</w:t>
      </w:r>
    </w:p>
    <w:p w14:paraId="377B1BFA">
      <w:pPr>
        <w:pStyle w:val="51"/>
      </w:pPr>
      <w:r>
        <w:t>«Реестр счетов»;</w:t>
      </w:r>
    </w:p>
    <w:p w14:paraId="08ED1612">
      <w:pPr>
        <w:pStyle w:val="51"/>
      </w:pPr>
      <w:r>
        <w:t>«Реестр направлений»;</w:t>
      </w:r>
    </w:p>
    <w:p w14:paraId="28257147">
      <w:pPr>
        <w:pStyle w:val="51"/>
      </w:pPr>
      <w:r>
        <w:t>«Мониторинг».</w:t>
      </w:r>
    </w:p>
    <w:p w14:paraId="2478667D">
      <w:pPr>
        <w:pStyle w:val="48"/>
      </w:pPr>
      <w:r>
        <w:drawing>
          <wp:inline distT="0" distB="0" distL="0" distR="0">
            <wp:extent cx="6119495" cy="366395"/>
            <wp:effectExtent l="19050" t="19050" r="14605" b="14605"/>
            <wp:docPr id="12653094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309437" name="Рисунок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63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2DC7771">
      <w:pPr>
        <w:pStyle w:val="49"/>
      </w:pPr>
      <w:bookmarkStart w:id="124" w:name="_Ref14618759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</w:t>
      </w:r>
      <w:r>
        <w:fldChar w:fldCharType="end"/>
      </w:r>
      <w:bookmarkEnd w:id="124"/>
      <w:r>
        <w:t xml:space="preserve"> — Лента главного меню ФПУМП</w:t>
      </w:r>
    </w:p>
    <w:p w14:paraId="7EDEEC6F">
      <w:pPr>
        <w:pStyle w:val="44"/>
        <w:rPr>
          <w:rFonts w:eastAsia="Arial Unicode MS"/>
        </w:rPr>
      </w:pPr>
      <w:r>
        <w:rPr>
          <w:rFonts w:eastAsia="Arial Unicode MS"/>
        </w:rPr>
        <w:t>Переход в разделы осуществляется при выборе вкладки в ленте главного меню или выбором раздела в</w:t>
      </w:r>
      <w:bookmarkStart w:id="125" w:name="_Hlk147221542"/>
      <w:r>
        <w:rPr>
          <w:rFonts w:eastAsia="Arial Unicode MS"/>
        </w:rPr>
        <w:t xml:space="preserve"> раскрывающемся меню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_Ref146187661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11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 после нажатия кнопки «Все разделы».</w:t>
      </w:r>
      <w:bookmarkEnd w:id="125"/>
    </w:p>
    <w:p w14:paraId="55DBEC30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5399405" cy="2784475"/>
            <wp:effectExtent l="19050" t="19050" r="10795" b="15875"/>
            <wp:docPr id="3140004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000488" name="Рисунок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8489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FD27730">
      <w:pPr>
        <w:pStyle w:val="49"/>
      </w:pPr>
      <w:bookmarkStart w:id="126" w:name="_Ref1461876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</w:t>
      </w:r>
      <w:r>
        <w:fldChar w:fldCharType="end"/>
      </w:r>
      <w:bookmarkEnd w:id="126"/>
      <w:r>
        <w:t xml:space="preserve"> — Всплывающее меню «Все разделы»</w:t>
      </w:r>
    </w:p>
    <w:p w14:paraId="68333F75">
      <w:pPr>
        <w:pStyle w:val="44"/>
      </w:pPr>
      <w:r>
        <w:t>После перехода в раздел активная вкладка подчеркивается синим цветом.</w:t>
      </w:r>
    </w:p>
    <w:p w14:paraId="11164F3D">
      <w:pPr>
        <w:pStyle w:val="39"/>
      </w:pPr>
      <w:bookmarkStart w:id="127" w:name="_Ref143780723"/>
      <w:bookmarkStart w:id="128" w:name="_Toc225871499"/>
      <w:bookmarkStart w:id="129" w:name="_Toc141993870"/>
      <w:bookmarkStart w:id="130" w:name="_Toc150261766"/>
      <w:r>
        <w:t>Панель фильтрации и поиска информации</w:t>
      </w:r>
      <w:bookmarkEnd w:id="127"/>
      <w:bookmarkEnd w:id="128"/>
      <w:bookmarkEnd w:id="129"/>
      <w:bookmarkEnd w:id="130"/>
    </w:p>
    <w:p w14:paraId="32A5002C">
      <w:pPr>
        <w:pStyle w:val="44"/>
      </w:pPr>
      <w:r>
        <w:t>Формы ФПУМП снабжены фильтрами, которые позволяют делать выборку содержимого табличной формы блока вывода информации. Возможен поиск как по ключевым параметрам, так и расширенный поиск. Примененная фильтрация сохраняется на время текущей сессии работы с формой.</w:t>
      </w:r>
    </w:p>
    <w:p w14:paraId="635D6680">
      <w:pPr>
        <w:pStyle w:val="44"/>
      </w:pPr>
      <w:r>
        <w:t>Панель фильтрации информации для быстрого поиска расположена в левой части экрана (рис.</w:t>
      </w:r>
      <w:r>
        <w:fldChar w:fldCharType="begin"/>
      </w:r>
      <w:r>
        <w:instrText xml:space="preserve"> REF  _Ref206016763 \h \t\#\0   \* MERGEFORMAT </w:instrText>
      </w:r>
      <w:r>
        <w:fldChar w:fldCharType="separate"/>
      </w:r>
      <w:r>
        <w:t>12</w:t>
      </w:r>
      <w:r>
        <w:fldChar w:fldCharType="end"/>
      </w:r>
      <w:r>
        <w:t>).</w:t>
      </w:r>
    </w:p>
    <w:p w14:paraId="11322EC5">
      <w:pPr>
        <w:pStyle w:val="46"/>
      </w:pPr>
      <w:r>
        <w:rPr>
          <w:rStyle w:val="47"/>
        </w:rPr>
        <w:t>Примечание</w:t>
      </w:r>
      <w:r>
        <w:t xml:space="preserve"> — Доступные поля фильтрации зависят от конкретной табличной формы и указаны в разделах с описанием операций, доступных в конкретной форме.</w:t>
      </w:r>
    </w:p>
    <w:p w14:paraId="4D38EF1E">
      <w:pPr>
        <w:pStyle w:val="48"/>
      </w:pPr>
      <w:r>
        <w:drawing>
          <wp:inline distT="0" distB="0" distL="0" distR="0">
            <wp:extent cx="3599815" cy="4721225"/>
            <wp:effectExtent l="19050" t="19050" r="19685" b="22225"/>
            <wp:docPr id="125605859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058592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72149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3A2A8B">
      <w:pPr>
        <w:pStyle w:val="49"/>
      </w:pPr>
      <w:bookmarkStart w:id="131" w:name="_Ref20601676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</w:t>
      </w:r>
      <w:r>
        <w:fldChar w:fldCharType="end"/>
      </w:r>
      <w:bookmarkEnd w:id="131"/>
      <w:r>
        <w:t xml:space="preserve"> — Панель фильтрации и поиска информации. Блок «Фильтр»</w:t>
      </w:r>
    </w:p>
    <w:p w14:paraId="6248D080">
      <w:pPr>
        <w:pStyle w:val="44"/>
      </w:pPr>
      <w:r>
        <w:t xml:space="preserve">На рисунке </w:t>
      </w:r>
      <w:r>
        <w:fldChar w:fldCharType="begin"/>
      </w:r>
      <w:r>
        <w:instrText xml:space="preserve"> REF  _Ref143699935 \h\#\0   \* MERGEFORMAT </w:instrText>
      </w:r>
      <w:r>
        <w:fldChar w:fldCharType="separate"/>
      </w:r>
      <w:r>
        <w:t>13</w:t>
      </w:r>
      <w:r>
        <w:fldChar w:fldCharType="end"/>
      </w:r>
      <w:r>
        <w:t xml:space="preserve"> для примера приведена панель фильтрации раздела «Реестр СЭФД».</w:t>
      </w:r>
    </w:p>
    <w:p w14:paraId="0279908A">
      <w:pPr>
        <w:pStyle w:val="44"/>
      </w:pPr>
      <w:r>
        <w:t>Блок «Фильтр» содержит управляющие элементы и следующие разделы:</w:t>
      </w:r>
    </w:p>
    <w:p w14:paraId="0CAAB116">
      <w:pPr>
        <w:pStyle w:val="51"/>
      </w:pPr>
      <w:r>
        <w:t>«По пациентам»;</w:t>
      </w:r>
    </w:p>
    <w:p w14:paraId="0B586041">
      <w:pPr>
        <w:pStyle w:val="51"/>
      </w:pPr>
      <w:r>
        <w:t>«Быстрая фильтрация»;</w:t>
      </w:r>
    </w:p>
    <w:p w14:paraId="5059045A">
      <w:pPr>
        <w:pStyle w:val="51"/>
      </w:pPr>
      <w:r>
        <w:t xml:space="preserve">«Раздел </w:t>
      </w:r>
      <w:r>
        <w:rPr>
          <w:lang w:val="en-US"/>
        </w:rPr>
        <w:t xml:space="preserve">XV </w:t>
      </w:r>
      <w:r>
        <w:t>Приказа 108н»</w:t>
      </w:r>
      <w:r>
        <w:rPr>
          <w:lang w:val="en-US"/>
        </w:rPr>
        <w:t>;</w:t>
      </w:r>
    </w:p>
    <w:p w14:paraId="58715E1E">
      <w:pPr>
        <w:pStyle w:val="51"/>
      </w:pPr>
      <w:r>
        <w:t>«Документы по погашенным полисам»;</w:t>
      </w:r>
    </w:p>
    <w:p w14:paraId="10347E8B">
      <w:pPr>
        <w:pStyle w:val="51"/>
      </w:pPr>
      <w:r>
        <w:t>«ИД документа»;</w:t>
      </w:r>
    </w:p>
    <w:p w14:paraId="48E75EAE">
      <w:pPr>
        <w:pStyle w:val="51"/>
      </w:pPr>
      <w:r>
        <w:t>«Общий блок»;</w:t>
      </w:r>
    </w:p>
    <w:p w14:paraId="6F281E49">
      <w:pPr>
        <w:pStyle w:val="51"/>
      </w:pPr>
      <w:r>
        <w:t>«По МО»;</w:t>
      </w:r>
    </w:p>
    <w:p w14:paraId="711ED7FE">
      <w:pPr>
        <w:pStyle w:val="51"/>
      </w:pPr>
      <w:r>
        <w:t>«По мед. работникам»;</w:t>
      </w:r>
    </w:p>
    <w:p w14:paraId="475126AE">
      <w:pPr>
        <w:pStyle w:val="51"/>
      </w:pPr>
      <w:r>
        <w:t>«По услугам»;</w:t>
      </w:r>
    </w:p>
    <w:p w14:paraId="0F45C159">
      <w:pPr>
        <w:pStyle w:val="51"/>
      </w:pPr>
      <w:r>
        <w:t>«По КСГ»;</w:t>
      </w:r>
    </w:p>
    <w:p w14:paraId="02172889">
      <w:pPr>
        <w:pStyle w:val="51"/>
      </w:pPr>
      <w:r>
        <w:t>«По диагнозам»;</w:t>
      </w:r>
    </w:p>
    <w:p w14:paraId="4D7AC1E5">
      <w:pPr>
        <w:pStyle w:val="51"/>
      </w:pPr>
      <w:r>
        <w:t>«Входящие направления»;</w:t>
      </w:r>
    </w:p>
    <w:p w14:paraId="796D5BE3">
      <w:pPr>
        <w:pStyle w:val="51"/>
      </w:pPr>
      <w:r>
        <w:t>«Исходящие направления»;</w:t>
      </w:r>
    </w:p>
    <w:p w14:paraId="736B014F">
      <w:pPr>
        <w:pStyle w:val="51"/>
      </w:pPr>
      <w:r>
        <w:t>«Обслуживание СМП».</w:t>
      </w:r>
    </w:p>
    <w:p w14:paraId="49CCF7CB">
      <w:pPr>
        <w:pStyle w:val="49"/>
        <w:rPr>
          <w:lang w:eastAsia="ru-RU"/>
        </w:rPr>
      </w:pPr>
      <w:r>
        <w:rPr>
          <w:lang w:eastAsia="ru-RU"/>
        </w:rPr>
        <w:drawing>
          <wp:inline distT="0" distB="0" distL="0" distR="0">
            <wp:extent cx="2159635" cy="5748655"/>
            <wp:effectExtent l="19050" t="19050" r="12065" b="23495"/>
            <wp:docPr id="21080507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050758" name="Рисунок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74922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A3A5BC">
      <w:pPr>
        <w:pStyle w:val="49"/>
      </w:pPr>
      <w:bookmarkStart w:id="132" w:name="_Ref1436999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</w:t>
      </w:r>
      <w:r>
        <w:fldChar w:fldCharType="end"/>
      </w:r>
      <w:bookmarkEnd w:id="132"/>
      <w:r>
        <w:t xml:space="preserve"> — Панель фильтрации и поиска информации. Блок «Фильтр»</w:t>
      </w:r>
    </w:p>
    <w:p w14:paraId="2D1A27FE">
      <w:pPr>
        <w:pStyle w:val="44"/>
      </w:pPr>
      <w:r>
        <w:t xml:space="preserve">Чтобы раскрыть раздел с параметрами поиска необходимо нажать </w:t>
      </w:r>
      <w:r>
        <w:drawing>
          <wp:inline distT="0" distB="0" distL="0" distR="0">
            <wp:extent cx="180975" cy="161925"/>
            <wp:effectExtent l="19050" t="19050" r="9525" b="28575"/>
            <wp:docPr id="791228953" name="Рисунок 791228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28953" name="Рисунок 79122895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кнопку управления блоком фильтров. Чтобы скрыть параметры поиска — нажать </w:t>
      </w:r>
      <w:r>
        <w:drawing>
          <wp:inline distT="0" distB="0" distL="0" distR="0">
            <wp:extent cx="180975" cy="190500"/>
            <wp:effectExtent l="19050" t="19050" r="9525" b="19050"/>
            <wp:docPr id="874539842" name="Рисунок 87453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539842" name="Рисунок 87453984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5F7CF724">
      <w:pPr>
        <w:pStyle w:val="44"/>
      </w:pPr>
      <w:bookmarkStart w:id="133" w:name="_Toc461195733"/>
      <w:bookmarkStart w:id="134" w:name="_Toc91089947"/>
      <w:bookmarkStart w:id="135" w:name="_Toc139305861"/>
      <w:r>
        <w:t>Для применения фильтрации необходимо выполнить следующую последовательность действий:</w:t>
      </w:r>
    </w:p>
    <w:p w14:paraId="5821FEF0">
      <w:pPr>
        <w:pStyle w:val="51"/>
      </w:pPr>
      <w:r>
        <w:t>в блоке фильтров указать значения необходимых параметров фильтрации;</w:t>
      </w:r>
    </w:p>
    <w:p w14:paraId="2B3E1561">
      <w:pPr>
        <w:pStyle w:val="51"/>
      </w:pPr>
      <w:r>
        <w:t xml:space="preserve">нажать кнопку </w:t>
      </w:r>
      <w:r>
        <w:drawing>
          <wp:inline distT="0" distB="0" distL="0" distR="0">
            <wp:extent cx="1005840" cy="289560"/>
            <wp:effectExtent l="19050" t="19050" r="22860" b="15240"/>
            <wp:docPr id="18815435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543517" name="Рисунок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05927" cy="2895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панели фильтрации.</w:t>
      </w:r>
    </w:p>
    <w:p w14:paraId="4BE07A9E">
      <w:pPr>
        <w:pStyle w:val="44"/>
      </w:pPr>
      <w:r>
        <w:t xml:space="preserve">Для очистки фильтров необходимо нажать кнопку </w:t>
      </w:r>
      <w:r>
        <w:drawing>
          <wp:inline distT="0" distB="0" distL="0" distR="0">
            <wp:extent cx="853440" cy="251460"/>
            <wp:effectExtent l="19050" t="19050" r="22860" b="15240"/>
            <wp:docPr id="1305568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568830" name="Рисунок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53514" cy="2514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панели фильтрации. Данные в блоке вывода информации будут обновлены автоматически.</w:t>
      </w:r>
    </w:p>
    <w:p w14:paraId="77C0B2C6">
      <w:pPr>
        <w:pStyle w:val="44"/>
      </w:pPr>
      <w:r>
        <w:t xml:space="preserve">Панель фильтрации можно скрыть, нажав кнопку </w:t>
      </w:r>
      <w:r>
        <w:drawing>
          <wp:inline distT="0" distB="0" distL="0" distR="0">
            <wp:extent cx="195580" cy="215900"/>
            <wp:effectExtent l="19050" t="19050" r="13970" b="12700"/>
            <wp:docPr id="1814490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90483" name="Рисунок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5907" cy="216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блоке «Фильтр» (рис. </w:t>
      </w:r>
      <w:r>
        <w:fldChar w:fldCharType="begin"/>
      </w:r>
      <w:r>
        <w:instrText xml:space="preserve"> REF  _Ref143703510 \h\#\0   \* MERGEFORMAT </w:instrText>
      </w:r>
      <w:r>
        <w:fldChar w:fldCharType="separate"/>
      </w:r>
      <w:r>
        <w:t>14</w:t>
      </w:r>
      <w:r>
        <w:fldChar w:fldCharType="end"/>
      </w:r>
      <w:r>
        <w:t xml:space="preserve">). </w:t>
      </w:r>
    </w:p>
    <w:p w14:paraId="36974247">
      <w:pPr>
        <w:pStyle w:val="48"/>
      </w:pPr>
      <w:r>
        <w:drawing>
          <wp:inline distT="0" distB="0" distL="0" distR="0">
            <wp:extent cx="2159635" cy="2496820"/>
            <wp:effectExtent l="19050" t="19050" r="12065" b="17780"/>
            <wp:docPr id="192082506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82506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49699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3D66A71">
      <w:pPr>
        <w:pStyle w:val="49"/>
      </w:pPr>
      <w:bookmarkStart w:id="136" w:name="_Ref14370351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</w:t>
      </w:r>
      <w:r>
        <w:fldChar w:fldCharType="end"/>
      </w:r>
      <w:bookmarkEnd w:id="136"/>
      <w:r>
        <w:t xml:space="preserve"> — Скрыть панель фильтрации</w:t>
      </w:r>
    </w:p>
    <w:p w14:paraId="0D92182E">
      <w:pPr>
        <w:pStyle w:val="44"/>
      </w:pPr>
      <w:r>
        <w:t xml:space="preserve">Для отображения скрытой панели фильтрации нажать кнопку </w:t>
      </w:r>
      <w:r>
        <w:drawing>
          <wp:inline distT="0" distB="0" distL="0" distR="0">
            <wp:extent cx="215900" cy="201930"/>
            <wp:effectExtent l="19050" t="19050" r="12700" b="26670"/>
            <wp:docPr id="963596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596147" name="Рисунок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25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(рис. </w:t>
      </w:r>
      <w:r>
        <w:fldChar w:fldCharType="begin"/>
      </w:r>
      <w:r>
        <w:instrText xml:space="preserve"> REF  _Ref143703937 \h\#\0   \* MERGEFORMAT </w:instrText>
      </w:r>
      <w:r>
        <w:fldChar w:fldCharType="separate"/>
      </w:r>
      <w:r>
        <w:t>15</w:t>
      </w:r>
      <w:r>
        <w:fldChar w:fldCharType="end"/>
      </w:r>
      <w:r>
        <w:t>).</w:t>
      </w:r>
    </w:p>
    <w:p w14:paraId="38B6653E">
      <w:pPr>
        <w:pStyle w:val="48"/>
      </w:pPr>
      <w:r>
        <w:drawing>
          <wp:inline distT="0" distB="0" distL="0" distR="0">
            <wp:extent cx="4679950" cy="1515745"/>
            <wp:effectExtent l="19050" t="19050" r="25400" b="27305"/>
            <wp:docPr id="114832183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321839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516262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856CEC5">
      <w:pPr>
        <w:pStyle w:val="49"/>
      </w:pPr>
      <w:bookmarkStart w:id="137" w:name="_Ref1437039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</w:t>
      </w:r>
      <w:r>
        <w:fldChar w:fldCharType="end"/>
      </w:r>
      <w:bookmarkEnd w:id="137"/>
      <w:r>
        <w:t xml:space="preserve"> — Показать панель фильтрации</w:t>
      </w:r>
    </w:p>
    <w:p w14:paraId="533A1703">
      <w:pPr>
        <w:pStyle w:val="44"/>
      </w:pPr>
      <w:r>
        <w:t xml:space="preserve">Для быстрого поиска документов необходимо в панели фильтрации выбрать раздел «Быстрая фильтрация» и в подразделе «Фильтр по документам» (рис. </w:t>
      </w:r>
      <w:r>
        <w:fldChar w:fldCharType="begin"/>
      </w:r>
      <w:r>
        <w:instrText xml:space="preserve"> REF  _Ref143702744 \h\#\0   \* MERGEFORMAT </w:instrText>
      </w:r>
      <w:r>
        <w:fldChar w:fldCharType="separate"/>
      </w:r>
      <w:r>
        <w:t>16</w:t>
      </w:r>
      <w:r>
        <w:fldChar w:fldCharType="end"/>
      </w:r>
      <w:r>
        <w:t>) указать один из следующих параметров поиска:</w:t>
      </w:r>
    </w:p>
    <w:p w14:paraId="7691AE72">
      <w:pPr>
        <w:pStyle w:val="51"/>
      </w:pPr>
      <w:r>
        <w:t>«Мои документы за сегодня»;</w:t>
      </w:r>
    </w:p>
    <w:p w14:paraId="4DDE3BE2">
      <w:pPr>
        <w:pStyle w:val="51"/>
      </w:pPr>
      <w:r>
        <w:t>«Документы за сегодня»;</w:t>
      </w:r>
    </w:p>
    <w:p w14:paraId="61AC194D">
      <w:pPr>
        <w:pStyle w:val="51"/>
      </w:pPr>
      <w:r>
        <w:t>«Мои черновики»;</w:t>
      </w:r>
    </w:p>
    <w:p w14:paraId="225394C3">
      <w:pPr>
        <w:pStyle w:val="51"/>
      </w:pPr>
      <w:r>
        <w:t>«Черновики».</w:t>
      </w:r>
    </w:p>
    <w:p w14:paraId="7B7EC4FE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2519680" cy="2883535"/>
            <wp:effectExtent l="19050" t="19050" r="13970" b="12065"/>
            <wp:docPr id="1327178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7836" name="Рисунок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88362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584167">
      <w:pPr>
        <w:pStyle w:val="49"/>
      </w:pPr>
      <w:bookmarkStart w:id="138" w:name="_Ref14370274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</w:t>
      </w:r>
      <w:r>
        <w:fldChar w:fldCharType="end"/>
      </w:r>
      <w:bookmarkEnd w:id="138"/>
      <w:r>
        <w:t xml:space="preserve"> — Быстрая фильтрация по документам</w:t>
      </w:r>
    </w:p>
    <w:p w14:paraId="38076E94">
      <w:pPr>
        <w:pStyle w:val="39"/>
      </w:pPr>
      <w:bookmarkStart w:id="139" w:name="_Toc150261767"/>
      <w:bookmarkStart w:id="140" w:name="_Toc225871500"/>
      <w:bookmarkStart w:id="141" w:name="_Ref206077207"/>
      <w:r>
        <w:t>Рабочая область</w:t>
      </w:r>
      <w:bookmarkEnd w:id="139"/>
      <w:bookmarkEnd w:id="140"/>
      <w:bookmarkEnd w:id="141"/>
    </w:p>
    <w:bookmarkEnd w:id="133"/>
    <w:bookmarkEnd w:id="134"/>
    <w:bookmarkEnd w:id="135"/>
    <w:p w14:paraId="1029E987">
      <w:pPr>
        <w:pStyle w:val="40"/>
      </w:pPr>
      <w:bookmarkStart w:id="142" w:name="_Toc461195740"/>
      <w:bookmarkStart w:id="143" w:name="_Ref354655460"/>
      <w:bookmarkStart w:id="144" w:name="_Toc355707420"/>
      <w:bookmarkStart w:id="145" w:name="_Toc91089961"/>
      <w:bookmarkStart w:id="146" w:name="_Toc139305871"/>
      <w:bookmarkStart w:id="147" w:name="_Ref143780756"/>
      <w:r>
        <w:t xml:space="preserve">Блок </w:t>
      </w:r>
      <w:bookmarkEnd w:id="142"/>
      <w:bookmarkEnd w:id="143"/>
      <w:bookmarkEnd w:id="144"/>
      <w:bookmarkEnd w:id="145"/>
      <w:bookmarkEnd w:id="146"/>
      <w:r>
        <w:t>вывода информации</w:t>
      </w:r>
      <w:bookmarkEnd w:id="147"/>
    </w:p>
    <w:p w14:paraId="32F097A4">
      <w:pPr>
        <w:pStyle w:val="44"/>
      </w:pPr>
      <w:r>
        <w:t xml:space="preserve">В блоке вывода информации (рис. </w:t>
      </w:r>
      <w:r>
        <w:fldChar w:fldCharType="begin"/>
      </w:r>
      <w:r>
        <w:instrText xml:space="preserve"> REF  _Ref438718545 \h\#\0   \* MERGEFORMAT </w:instrText>
      </w:r>
      <w:r>
        <w:fldChar w:fldCharType="separate"/>
      </w:r>
      <w:r>
        <w:t>17</w:t>
      </w:r>
      <w:r>
        <w:fldChar w:fldCharType="end"/>
      </w:r>
      <w:r>
        <w:t>) в табличной форме отображается информация, соответствующая заданным критериям поиска в блоке «Фильтр».</w:t>
      </w:r>
    </w:p>
    <w:p w14:paraId="395DE2CE">
      <w:pPr>
        <w:pStyle w:val="44"/>
      </w:pPr>
      <w:r>
        <w:t>В верхней части блока отображается информационная строка и панель инструментов.</w:t>
      </w:r>
    </w:p>
    <w:p w14:paraId="61D2C27D">
      <w:pPr>
        <w:pStyle w:val="44"/>
      </w:pPr>
      <w:r>
        <w:t>Информационная строка содержит наименование реестра и количество найденных записей.</w:t>
      </w:r>
    </w:p>
    <w:p w14:paraId="527706D8">
      <w:pPr>
        <w:pStyle w:val="48"/>
      </w:pPr>
      <w:r>
        <w:drawing>
          <wp:inline distT="0" distB="0" distL="0" distR="0">
            <wp:extent cx="6119495" cy="1235710"/>
            <wp:effectExtent l="19050" t="19050" r="14605" b="21590"/>
            <wp:docPr id="9923381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338108" name="Рисунок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357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244059">
      <w:pPr>
        <w:pStyle w:val="49"/>
      </w:pPr>
      <w:bookmarkStart w:id="148" w:name="_Ref4387185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</w:t>
      </w:r>
      <w:r>
        <w:fldChar w:fldCharType="end"/>
      </w:r>
      <w:bookmarkEnd w:id="148"/>
      <w:r>
        <w:t xml:space="preserve"> — Пример вывода результатов поиска</w:t>
      </w:r>
    </w:p>
    <w:p w14:paraId="19C58694">
      <w:pPr>
        <w:pStyle w:val="44"/>
      </w:pPr>
      <w:bookmarkStart w:id="149" w:name="_Hlk205832754"/>
      <w:r>
        <w:t xml:space="preserve">Доступен механизм управления составом информации в табличной форме. Операция выполняется в панели настройки отображения столбцов после нажатия на кнопку </w:t>
      </w:r>
      <w:r>
        <w:rPr>
          <w:lang w:eastAsia="ru-RU"/>
        </w:rPr>
        <w:drawing>
          <wp:inline distT="0" distB="0" distL="0" distR="0">
            <wp:extent cx="215900" cy="229870"/>
            <wp:effectExtent l="19050" t="19050" r="12700" b="17780"/>
            <wp:docPr id="1328324170" name="Рисунок 1328324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24170" name="Рисунок 132832417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304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</w:t>
      </w:r>
      <w:bookmarkEnd w:id="149"/>
      <w:r>
        <w:t xml:space="preserve"> (рис. </w:t>
      </w:r>
      <w:r>
        <w:fldChar w:fldCharType="begin"/>
      </w:r>
      <w:r>
        <w:instrText xml:space="preserve"> REF  _Ref143705430 \h\#\0   \* MERGEFORMAT </w:instrText>
      </w:r>
      <w:r>
        <w:fldChar w:fldCharType="separate"/>
      </w:r>
      <w:r>
        <w:t>18</w:t>
      </w:r>
      <w:r>
        <w:fldChar w:fldCharType="end"/>
      </w:r>
      <w:r>
        <w:t>).</w:t>
      </w:r>
    </w:p>
    <w:p w14:paraId="2BEE2A2B">
      <w:pPr>
        <w:pStyle w:val="48"/>
      </w:pPr>
      <w:r>
        <w:drawing>
          <wp:inline distT="0" distB="0" distL="0" distR="0">
            <wp:extent cx="6119495" cy="2110740"/>
            <wp:effectExtent l="19050" t="19050" r="14605" b="22860"/>
            <wp:docPr id="1611856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856033" name="Рисунок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107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EBBC8BB">
      <w:pPr>
        <w:pStyle w:val="49"/>
      </w:pPr>
      <w:bookmarkStart w:id="150" w:name="_Ref14370543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</w:t>
      </w:r>
      <w:r>
        <w:fldChar w:fldCharType="end"/>
      </w:r>
      <w:bookmarkEnd w:id="150"/>
      <w:r>
        <w:t xml:space="preserve"> — Раздел «Реестр СЭФД». Настройка отображения табличной части</w:t>
      </w:r>
    </w:p>
    <w:p w14:paraId="52504027">
      <w:pPr>
        <w:pStyle w:val="44"/>
      </w:pPr>
      <w:bookmarkStart w:id="151" w:name="_Hlk205832895"/>
      <w:r>
        <w:t xml:space="preserve">В раскрывающемся списке установить или снять флаг </w:t>
      </w:r>
      <w:r>
        <w:rPr>
          <w:lang w:eastAsia="ru-RU"/>
        </w:rPr>
        <w:drawing>
          <wp:inline distT="0" distB="0" distL="0" distR="0">
            <wp:extent cx="251460" cy="237490"/>
            <wp:effectExtent l="19050" t="19050" r="15240" b="10160"/>
            <wp:docPr id="531298788" name="Рисунок 531298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298788" name="Рисунок 53129878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8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напротив наименования столбца, который необходимо показать или скрыть. Настроенный состав вывода информации в табличной форме сохраняется для пользователя на время сессии.</w:t>
      </w:r>
      <w:bookmarkEnd w:id="151"/>
    </w:p>
    <w:p w14:paraId="75107915">
      <w:pPr>
        <w:pStyle w:val="40"/>
      </w:pPr>
      <w:bookmarkStart w:id="152" w:name="_Toc461195742"/>
      <w:bookmarkStart w:id="153" w:name="_Toc139305872"/>
      <w:bookmarkStart w:id="154" w:name="_Toc91089963"/>
      <w:r>
        <w:t>Блок ввода данных</w:t>
      </w:r>
      <w:bookmarkEnd w:id="152"/>
      <w:bookmarkEnd w:id="153"/>
      <w:bookmarkEnd w:id="154"/>
    </w:p>
    <w:p w14:paraId="140221F4">
      <w:pPr>
        <w:pStyle w:val="44"/>
      </w:pPr>
      <w:r>
        <w:t xml:space="preserve">Регистрация сведений МО об оказанной медицинской помощи ЗЛ ОМС осуществляется путем ввода данных в формы структурированных электронных финансовых документов (СЭФД). Пример формы при создании СЭФД СТЦ приведен на рисунке </w:t>
      </w:r>
      <w:r>
        <w:fldChar w:fldCharType="begin"/>
      </w:r>
      <w:r>
        <w:instrText xml:space="preserve"> REF  _Ref438718645 \h\#\0   \* MERGEFORMAT </w:instrText>
      </w:r>
      <w:r>
        <w:fldChar w:fldCharType="separate"/>
      </w:r>
      <w:r>
        <w:t>19</w:t>
      </w:r>
      <w:r>
        <w:fldChar w:fldCharType="end"/>
      </w:r>
      <w:r>
        <w:t>.</w:t>
      </w:r>
    </w:p>
    <w:p w14:paraId="481457A8">
      <w:pPr>
        <w:pStyle w:val="48"/>
      </w:pPr>
      <w:r>
        <w:drawing>
          <wp:inline distT="0" distB="0" distL="0" distR="0">
            <wp:extent cx="6119495" cy="3373755"/>
            <wp:effectExtent l="19050" t="19050" r="14605" b="17145"/>
            <wp:docPr id="9182210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21062" name="Рисунок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737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35CEA78">
      <w:pPr>
        <w:pStyle w:val="49"/>
      </w:pPr>
      <w:bookmarkStart w:id="155" w:name="_Ref4387186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</w:t>
      </w:r>
      <w:r>
        <w:fldChar w:fldCharType="end"/>
      </w:r>
      <w:bookmarkEnd w:id="155"/>
      <w:r>
        <w:t xml:space="preserve"> — Создание СЭФД СТЦ</w:t>
      </w:r>
    </w:p>
    <w:p w14:paraId="0E9BC0CF">
      <w:pPr>
        <w:pStyle w:val="44"/>
      </w:pPr>
      <w:r>
        <w:t xml:space="preserve">Под лентой главного меню располагается информационная строка и панель инструментов (рис. </w:t>
      </w:r>
      <w:r>
        <w:fldChar w:fldCharType="begin"/>
      </w:r>
      <w:r>
        <w:instrText xml:space="preserve"> REF  _Ref148112240 \h\#\0   \* MERGEFORMAT </w:instrText>
      </w:r>
      <w:r>
        <w:fldChar w:fldCharType="separate"/>
      </w:r>
      <w:r>
        <w:t>20</w:t>
      </w:r>
      <w:r>
        <w:fldChar w:fldCharType="end"/>
      </w:r>
      <w:r>
        <w:t>).</w:t>
      </w:r>
    </w:p>
    <w:p w14:paraId="2C66D94B">
      <w:pPr>
        <w:pStyle w:val="48"/>
      </w:pPr>
      <w:r>
        <w:drawing>
          <wp:inline distT="0" distB="0" distL="0" distR="0">
            <wp:extent cx="6119495" cy="880110"/>
            <wp:effectExtent l="19050" t="19050" r="14605" b="15240"/>
            <wp:docPr id="13456433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643371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806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FDBB0C">
      <w:pPr>
        <w:pStyle w:val="49"/>
      </w:pPr>
      <w:bookmarkStart w:id="156" w:name="_Ref14811224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</w:t>
      </w:r>
      <w:r>
        <w:fldChar w:fldCharType="end"/>
      </w:r>
      <w:bookmarkEnd w:id="156"/>
      <w:r>
        <w:t xml:space="preserve"> — Информационная строка СЭФД СТЦ</w:t>
      </w:r>
    </w:p>
    <w:p w14:paraId="3FFD8B88">
      <w:pPr>
        <w:pStyle w:val="44"/>
      </w:pPr>
      <w:r>
        <w:t>Информационная строка формы содержит следующие сведения:</w:t>
      </w:r>
    </w:p>
    <w:p w14:paraId="7CDEC7E1">
      <w:pPr>
        <w:pStyle w:val="51"/>
      </w:pPr>
      <w:r>
        <w:t>действие пользователя и вид документа;</w:t>
      </w:r>
    </w:p>
    <w:p w14:paraId="09A6FD06">
      <w:pPr>
        <w:pStyle w:val="51"/>
      </w:pPr>
      <w:r>
        <w:t>фамилия, имя и отчество пациента;</w:t>
      </w:r>
    </w:p>
    <w:p w14:paraId="66459370">
      <w:pPr>
        <w:pStyle w:val="51"/>
      </w:pPr>
      <w:r>
        <w:t>статус — текущее состояние документа;</w:t>
      </w:r>
    </w:p>
    <w:p w14:paraId="16361BBD">
      <w:pPr>
        <w:pStyle w:val="51"/>
      </w:pPr>
      <w:r>
        <w:rPr>
          <w:lang w:val="en-US"/>
        </w:rPr>
        <w:t>ID</w:t>
      </w:r>
      <w:r>
        <w:t xml:space="preserve"> — номер документа.</w:t>
      </w:r>
    </w:p>
    <w:p w14:paraId="34D2D24A">
      <w:pPr>
        <w:pStyle w:val="44"/>
      </w:pPr>
      <w:r>
        <w:t>Панель инструментов может содержать следующие управляющие элементы:</w:t>
      </w:r>
    </w:p>
    <w:p w14:paraId="16DA364E">
      <w:pPr>
        <w:pStyle w:val="51"/>
      </w:pPr>
      <w:r>
        <w:t>«Редактировать»;</w:t>
      </w:r>
    </w:p>
    <w:p w14:paraId="4C620482">
      <w:pPr>
        <w:pStyle w:val="51"/>
      </w:pPr>
      <w:r>
        <w:t>«Сформировать»;</w:t>
      </w:r>
    </w:p>
    <w:p w14:paraId="6753D594">
      <w:pPr>
        <w:pStyle w:val="51"/>
      </w:pPr>
      <w:r>
        <w:t>«Отправить»;</w:t>
      </w:r>
    </w:p>
    <w:p w14:paraId="16356D41">
      <w:pPr>
        <w:pStyle w:val="51"/>
      </w:pPr>
      <w:r>
        <w:t>«Очистить»;</w:t>
      </w:r>
    </w:p>
    <w:p w14:paraId="1AAD0BF7">
      <w:pPr>
        <w:pStyle w:val="51"/>
      </w:pPr>
      <w:r>
        <w:t>«Подписать»;</w:t>
      </w:r>
    </w:p>
    <w:p w14:paraId="7BB0C2CA">
      <w:pPr>
        <w:pStyle w:val="51"/>
      </w:pPr>
      <w:r>
        <w:t>«Отозвать»;</w:t>
      </w:r>
    </w:p>
    <w:p w14:paraId="472DCB33">
      <w:pPr>
        <w:pStyle w:val="51"/>
      </w:pPr>
      <w:r>
        <w:t>«Опубликовать»;</w:t>
      </w:r>
    </w:p>
    <w:p w14:paraId="42D93B45">
      <w:pPr>
        <w:pStyle w:val="51"/>
      </w:pPr>
      <w:r>
        <w:drawing>
          <wp:inline distT="0" distB="0" distL="0" distR="0">
            <wp:extent cx="215900" cy="194310"/>
            <wp:effectExtent l="19050" t="19050" r="12700" b="15240"/>
            <wp:docPr id="1050505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0528" name="Рисунок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944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«Скачать».</w:t>
      </w:r>
    </w:p>
    <w:p w14:paraId="22C39472">
      <w:pPr>
        <w:pStyle w:val="44"/>
      </w:pPr>
      <w:r>
        <w:t>Отображение и доступность управляющих элементов зависят от прав доступа пользователя, вида документа и текущего состояния документа.</w:t>
      </w:r>
    </w:p>
    <w:p w14:paraId="44228CBD">
      <w:pPr>
        <w:pStyle w:val="44"/>
        <w:keepNext/>
      </w:pPr>
      <w:r>
        <w:t>Обязательные для заполнения поля формы отмечены символом * звездочка (рис. </w:t>
      </w:r>
      <w:r>
        <w:fldChar w:fldCharType="begin"/>
      </w:r>
      <w:r>
        <w:instrText xml:space="preserve"> REF  _Ref485202337 \h\#\0   \* MERGEFORMAT </w:instrText>
      </w:r>
      <w:r>
        <w:fldChar w:fldCharType="separate"/>
      </w:r>
      <w:r>
        <w:t>21</w:t>
      </w:r>
      <w:r>
        <w:fldChar w:fldCharType="end"/>
      </w:r>
      <w:r>
        <w:t>).</w:t>
      </w:r>
    </w:p>
    <w:p w14:paraId="70712A16">
      <w:pPr>
        <w:pStyle w:val="48"/>
      </w:pPr>
      <w:r>
        <w:drawing>
          <wp:inline distT="0" distB="0" distL="0" distR="0">
            <wp:extent cx="5759450" cy="464820"/>
            <wp:effectExtent l="19050" t="19050" r="12700" b="1143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Рисунок 45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504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88AC1D">
      <w:pPr>
        <w:pStyle w:val="49"/>
      </w:pPr>
      <w:bookmarkStart w:id="157" w:name="_Ref4852023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</w:t>
      </w:r>
      <w:r>
        <w:fldChar w:fldCharType="end"/>
      </w:r>
      <w:bookmarkEnd w:id="157"/>
      <w:r>
        <w:t xml:space="preserve"> — Пример поля, обязательного для заполнения</w:t>
      </w:r>
    </w:p>
    <w:p w14:paraId="723F7BB8">
      <w:pPr>
        <w:pStyle w:val="44"/>
        <w:keepNext/>
      </w:pPr>
      <w:r>
        <w:t>Если обязательное поле не заполнено, то при попытке сохранить данные:</w:t>
      </w:r>
    </w:p>
    <w:p w14:paraId="087A41FA">
      <w:pPr>
        <w:pStyle w:val="51"/>
      </w:pPr>
      <w:r>
        <w:t>поле подсвечивается красным;</w:t>
      </w:r>
    </w:p>
    <w:p w14:paraId="5541B84F">
      <w:pPr>
        <w:pStyle w:val="51"/>
      </w:pPr>
      <w:r>
        <w:t xml:space="preserve">отображается предупреждение: «Поле обязательно для заполнения» (рис. </w:t>
      </w:r>
      <w:r>
        <w:fldChar w:fldCharType="begin"/>
      </w:r>
      <w:r>
        <w:instrText xml:space="preserve"> REF  _Ref438718455 \h\#\0   \* MERGEFORMAT </w:instrText>
      </w:r>
      <w:r>
        <w:fldChar w:fldCharType="separate"/>
      </w:r>
      <w:r>
        <w:t>22</w:t>
      </w:r>
      <w:r>
        <w:fldChar w:fldCharType="end"/>
      </w:r>
      <w:r>
        <w:t>).</w:t>
      </w:r>
    </w:p>
    <w:p w14:paraId="55489A25">
      <w:pPr>
        <w:pStyle w:val="48"/>
      </w:pPr>
      <w:r>
        <w:drawing>
          <wp:inline distT="0" distB="0" distL="0" distR="0">
            <wp:extent cx="2606040" cy="533400"/>
            <wp:effectExtent l="19050" t="19050" r="22860" b="19050"/>
            <wp:docPr id="1853645895" name="Рисунок 1853645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645895" name="Рисунок 185364589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06266" cy="533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4E6969">
      <w:pPr>
        <w:pStyle w:val="49"/>
      </w:pPr>
      <w:bookmarkStart w:id="158" w:name="_Ref4387184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</w:t>
      </w:r>
      <w:r>
        <w:fldChar w:fldCharType="end"/>
      </w:r>
      <w:bookmarkEnd w:id="158"/>
      <w:r>
        <w:t xml:space="preserve"> — Предупреждение об обязательности заполнения поля</w:t>
      </w:r>
    </w:p>
    <w:p w14:paraId="422FAF64">
      <w:pPr>
        <w:pStyle w:val="37"/>
      </w:pPr>
      <w:bookmarkStart w:id="159" w:name="_Ref120264949"/>
      <w:bookmarkStart w:id="160" w:name="_Ref120264918"/>
      <w:bookmarkStart w:id="161" w:name="_Toc150261768"/>
      <w:bookmarkStart w:id="162" w:name="_Toc225871501"/>
      <w:r>
        <w:t>Описание операций</w:t>
      </w:r>
      <w:bookmarkEnd w:id="159"/>
      <w:bookmarkEnd w:id="160"/>
      <w:bookmarkEnd w:id="161"/>
      <w:bookmarkEnd w:id="162"/>
    </w:p>
    <w:p w14:paraId="3A686EB6">
      <w:pPr>
        <w:pStyle w:val="38"/>
      </w:pPr>
      <w:bookmarkStart w:id="163" w:name="_Toc131174694"/>
      <w:bookmarkStart w:id="164" w:name="_Toc225871502"/>
      <w:bookmarkStart w:id="165" w:name="_Toc150261769"/>
      <w:r>
        <w:t>Перечень выполняемых операций и задач</w:t>
      </w:r>
      <w:bookmarkEnd w:id="163"/>
      <w:bookmarkEnd w:id="164"/>
      <w:bookmarkEnd w:id="165"/>
    </w:p>
    <w:p w14:paraId="536C1EB9">
      <w:pPr>
        <w:pStyle w:val="44"/>
      </w:pPr>
      <w:r>
        <w:t xml:space="preserve">Задачи и операции, выполняемые сотрудником МО с использованием графического интерфейса ФПУМП, представлены в таблице </w:t>
      </w:r>
      <w:r>
        <w:fldChar w:fldCharType="begin"/>
      </w:r>
      <w:r>
        <w:instrText xml:space="preserve"> REF  _Ref150328938 \h\#\0   \* MERGEFORMAT </w:instrText>
      </w:r>
      <w:r>
        <w:fldChar w:fldCharType="separate"/>
      </w:r>
      <w:r>
        <w:t>1</w:t>
      </w:r>
      <w:r>
        <w:fldChar w:fldCharType="end"/>
      </w:r>
      <w:r>
        <w:t>.</w:t>
      </w:r>
    </w:p>
    <w:p w14:paraId="75E37A8B">
      <w:pPr>
        <w:pStyle w:val="79"/>
      </w:pPr>
      <w:bookmarkStart w:id="166" w:name="_Ref150328938"/>
      <w:bookmarkStart w:id="167" w:name="_Hlk154747399"/>
      <w:r>
        <w:rPr>
          <w:rStyle w:val="47"/>
        </w:rPr>
        <w:t>Таблица</w:t>
      </w:r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1</w:t>
      </w:r>
      <w:r>
        <w:fldChar w:fldCharType="end"/>
      </w:r>
      <w:bookmarkEnd w:id="166"/>
      <w:r>
        <w:t xml:space="preserve"> — Задачи и операции пользователей МО</w:t>
      </w:r>
    </w:p>
    <w:tbl>
      <w:tblPr>
        <w:tblStyle w:val="36"/>
        <w:tblW w:w="507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1861"/>
        <w:gridCol w:w="2152"/>
        <w:gridCol w:w="3305"/>
        <w:gridCol w:w="1725"/>
        <w:gridCol w:w="858"/>
      </w:tblGrid>
      <w:tr w14:paraId="7C0FF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  <w:tblHeader/>
        </w:trPr>
        <w:tc>
          <w:tcPr>
            <w:tcW w:w="940" w:type="pct"/>
            <w:tcBorders>
              <w:bottom w:val="double" w:color="auto" w:sz="4" w:space="0"/>
            </w:tcBorders>
            <w:vAlign w:val="center"/>
          </w:tcPr>
          <w:p w14:paraId="32E11072">
            <w:pPr>
              <w:pStyle w:val="84"/>
            </w:pPr>
            <w:r>
              <w:t>Вкладка</w:t>
            </w:r>
          </w:p>
        </w:tc>
        <w:tc>
          <w:tcPr>
            <w:tcW w:w="1087" w:type="pct"/>
            <w:tcBorders>
              <w:bottom w:val="double" w:color="auto" w:sz="4" w:space="0"/>
            </w:tcBorders>
            <w:vAlign w:val="center"/>
          </w:tcPr>
          <w:p w14:paraId="7F40B941">
            <w:pPr>
              <w:pStyle w:val="84"/>
            </w:pPr>
            <w:r>
              <w:t>Задача</w:t>
            </w:r>
          </w:p>
        </w:tc>
        <w:tc>
          <w:tcPr>
            <w:tcW w:w="1669" w:type="pct"/>
            <w:tcBorders>
              <w:bottom w:val="double" w:color="auto" w:sz="4" w:space="0"/>
            </w:tcBorders>
            <w:vAlign w:val="center"/>
          </w:tcPr>
          <w:p w14:paraId="710FFCA1">
            <w:pPr>
              <w:pStyle w:val="84"/>
            </w:pPr>
            <w:r>
              <w:t>Операции</w:t>
            </w:r>
          </w:p>
        </w:tc>
        <w:tc>
          <w:tcPr>
            <w:tcW w:w="871" w:type="pct"/>
            <w:tcBorders>
              <w:bottom w:val="double" w:color="auto" w:sz="4" w:space="0"/>
            </w:tcBorders>
            <w:vAlign w:val="center"/>
          </w:tcPr>
          <w:p w14:paraId="0D5B9CCF">
            <w:pPr>
              <w:pStyle w:val="84"/>
            </w:pPr>
            <w:r>
              <w:t>Роль пользователя</w:t>
            </w:r>
          </w:p>
        </w:tc>
        <w:tc>
          <w:tcPr>
            <w:tcW w:w="433" w:type="pct"/>
            <w:tcBorders>
              <w:bottom w:val="double" w:color="auto" w:sz="4" w:space="0"/>
            </w:tcBorders>
            <w:vAlign w:val="center"/>
          </w:tcPr>
          <w:p w14:paraId="0E9B6F78">
            <w:pPr>
              <w:pStyle w:val="84"/>
            </w:pPr>
            <w:r>
              <w:t>Раздел</w:t>
            </w:r>
          </w:p>
        </w:tc>
      </w:tr>
      <w:bookmarkEnd w:id="167"/>
      <w:tr w14:paraId="18C9F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  <w:tcBorders>
              <w:top w:val="single" w:color="auto" w:sz="4" w:space="0"/>
            </w:tcBorders>
          </w:tcPr>
          <w:p w14:paraId="0CD8E1F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Реестр СЭФД</w:t>
            </w:r>
          </w:p>
          <w:p w14:paraId="7761784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_Ref147139671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  <w:tcBorders>
              <w:top w:val="single" w:color="auto" w:sz="4" w:space="0"/>
            </w:tcBorders>
          </w:tcPr>
          <w:p w14:paraId="714F1FF1">
            <w:pPr>
              <w:pStyle w:val="83"/>
              <w:rPr>
                <w:szCs w:val="22"/>
              </w:rPr>
            </w:pPr>
            <w:bookmarkStart w:id="168" w:name="_Hlk154652388"/>
            <w:r>
              <w:rPr>
                <w:szCs w:val="22"/>
              </w:rPr>
              <w:t>Регистрация сведений об оказанной медицинской помощи</w:t>
            </w:r>
            <w:bookmarkEnd w:id="168"/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03894196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Создание СЭФД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43A5D3A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4BB5CEC3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_Ref141994168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4.2.2</w:t>
            </w:r>
            <w:r>
              <w:rPr>
                <w:szCs w:val="22"/>
              </w:rPr>
              <w:fldChar w:fldCharType="end"/>
            </w:r>
          </w:p>
        </w:tc>
      </w:tr>
      <w:tr w14:paraId="7EE3A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17F849F8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B3A61F9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79CD4DB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Поиск, идентификация и просмотр сведений о пациенте</w:t>
            </w:r>
          </w:p>
        </w:tc>
        <w:tc>
          <w:tcPr>
            <w:tcW w:w="871" w:type="pct"/>
          </w:tcPr>
          <w:p w14:paraId="542C6C61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746B6E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_Ref154569566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4.2.2.2</w:t>
            </w:r>
            <w:r>
              <w:rPr>
                <w:szCs w:val="22"/>
              </w:rPr>
              <w:fldChar w:fldCharType="end"/>
            </w:r>
          </w:p>
        </w:tc>
      </w:tr>
      <w:tr w14:paraId="03385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7F1CC0CE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0D1D978D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434BA150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Заполнение СЭФД СТЦ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4778508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6DB63C6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_Ref164171894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4.2.3</w:t>
            </w:r>
            <w:r>
              <w:rPr>
                <w:szCs w:val="22"/>
              </w:rPr>
              <w:fldChar w:fldCharType="end"/>
            </w:r>
          </w:p>
        </w:tc>
      </w:tr>
      <w:tr w14:paraId="7B3E6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50EA6E99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CA1B554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72B637D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Заполнение СЭФД АМБ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538A567A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7D2478E2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_Ref164171910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4.2.4</w:t>
            </w:r>
            <w:r>
              <w:rPr>
                <w:szCs w:val="22"/>
              </w:rPr>
              <w:fldChar w:fldCharType="end"/>
            </w:r>
          </w:p>
        </w:tc>
      </w:tr>
      <w:tr w14:paraId="1547B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48E93F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CCE6F53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269196C6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Заполнение СЭФД СМП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3A51F8A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75BE016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_Ref164171934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4.2.5</w:t>
            </w:r>
            <w:r>
              <w:rPr>
                <w:szCs w:val="22"/>
              </w:rPr>
              <w:fldChar w:fldCharType="end"/>
            </w:r>
          </w:p>
        </w:tc>
      </w:tr>
      <w:tr w14:paraId="2BFBC4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7BF9D883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3AF402CA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3E1BDA1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Сохранение СЭФД (просмотр стоимости СЭФД)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4D8BAFD4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02E52652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_Ref154569597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4.2.6</w:t>
            </w:r>
            <w:r>
              <w:rPr>
                <w:szCs w:val="22"/>
              </w:rPr>
              <w:fldChar w:fldCharType="end"/>
            </w:r>
          </w:p>
        </w:tc>
      </w:tr>
      <w:tr w14:paraId="38013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240E3DFD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16CE3AF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59679A12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Поиск и просмотр СЭФД</w:t>
            </w:r>
          </w:p>
        </w:tc>
        <w:tc>
          <w:tcPr>
            <w:tcW w:w="871" w:type="pct"/>
            <w:tcBorders>
              <w:top w:val="single" w:color="auto" w:sz="4" w:space="0"/>
            </w:tcBorders>
          </w:tcPr>
          <w:p w14:paraId="768E9B26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  <w:tcBorders>
              <w:top w:val="single" w:color="auto" w:sz="4" w:space="0"/>
            </w:tcBorders>
          </w:tcPr>
          <w:p w14:paraId="57E2EF3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_Ref149209742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4.2.7</w:t>
            </w:r>
            <w:r>
              <w:rPr>
                <w:szCs w:val="22"/>
              </w:rPr>
              <w:fldChar w:fldCharType="end"/>
            </w:r>
          </w:p>
        </w:tc>
      </w:tr>
      <w:tr w14:paraId="68882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2222891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1F2645E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6B012D4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Редактирование СЭФД</w:t>
            </w:r>
          </w:p>
        </w:tc>
        <w:tc>
          <w:tcPr>
            <w:tcW w:w="871" w:type="pct"/>
          </w:tcPr>
          <w:p w14:paraId="273319C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E7062B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_Ref142477152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4.2.8</w:t>
            </w:r>
            <w:r>
              <w:rPr>
                <w:szCs w:val="22"/>
              </w:rPr>
              <w:fldChar w:fldCharType="end"/>
            </w:r>
          </w:p>
        </w:tc>
      </w:tr>
      <w:tr w14:paraId="576EED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4ABF1C7C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0B49186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4A3F784D">
            <w:pPr>
              <w:pStyle w:val="83"/>
              <w:rPr>
                <w:szCs w:val="22"/>
              </w:rPr>
            </w:pPr>
            <w:bookmarkStart w:id="169" w:name="_Hlk142477193"/>
            <w:r>
              <w:rPr>
                <w:szCs w:val="22"/>
              </w:rPr>
              <w:t>Просмотр результатов ФЛК и МЭК СЭФД</w:t>
            </w:r>
            <w:bookmarkEnd w:id="169"/>
          </w:p>
        </w:tc>
        <w:tc>
          <w:tcPr>
            <w:tcW w:w="871" w:type="pct"/>
          </w:tcPr>
          <w:p w14:paraId="7FF70BC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38B70B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_Ref154569636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4.2.9</w:t>
            </w:r>
            <w:r>
              <w:rPr>
                <w:szCs w:val="22"/>
              </w:rPr>
              <w:fldChar w:fldCharType="end"/>
            </w:r>
          </w:p>
        </w:tc>
      </w:tr>
      <w:tr w14:paraId="488975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55AC41B9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C622EFF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6DB1CFD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сведений, попавших в счет</w:t>
            </w:r>
          </w:p>
        </w:tc>
        <w:tc>
          <w:tcPr>
            <w:tcW w:w="871" w:type="pct"/>
          </w:tcPr>
          <w:p w14:paraId="597F57D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5592913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_Ref154584018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4.2.10</w:t>
            </w:r>
            <w:r>
              <w:rPr>
                <w:szCs w:val="22"/>
              </w:rPr>
              <w:fldChar w:fldCharType="end"/>
            </w:r>
          </w:p>
        </w:tc>
      </w:tr>
      <w:tr w14:paraId="54510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7A978658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209DE06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top w:val="single" w:color="auto" w:sz="4" w:space="0"/>
            </w:tcBorders>
          </w:tcPr>
          <w:p w14:paraId="6F974FFD">
            <w:pPr>
              <w:pStyle w:val="83"/>
              <w:rPr>
                <w:szCs w:val="22"/>
              </w:rPr>
            </w:pPr>
            <w:r>
              <w:t>Просмотр сведений в составе СЭФД по разделу XV Правил ОМС</w:t>
            </w:r>
          </w:p>
        </w:tc>
        <w:tc>
          <w:tcPr>
            <w:tcW w:w="871" w:type="pct"/>
          </w:tcPr>
          <w:p w14:paraId="1AE4858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BE2BBF2">
            <w:pPr>
              <w:pStyle w:val="82"/>
              <w:rPr>
                <w:szCs w:val="22"/>
              </w:rPr>
            </w:pPr>
            <w:r>
              <w:fldChar w:fldCharType="begin"/>
            </w:r>
            <w:r>
              <w:rPr>
                <w:szCs w:val="22"/>
              </w:rPr>
              <w:instrText xml:space="preserve"> REF _Ref185352325 \n \h </w:instrText>
            </w:r>
            <w:r>
              <w:fldChar w:fldCharType="separate"/>
            </w:r>
            <w:r>
              <w:rPr>
                <w:szCs w:val="22"/>
              </w:rPr>
              <w:t>4.2.11</w:t>
            </w:r>
            <w:r>
              <w:fldChar w:fldCharType="end"/>
            </w:r>
          </w:p>
        </w:tc>
      </w:tr>
      <w:tr w14:paraId="64D5BC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10" w:hRule="atLeast"/>
        </w:trPr>
        <w:tc>
          <w:tcPr>
            <w:tcW w:w="940" w:type="pct"/>
            <w:vMerge w:val="restart"/>
          </w:tcPr>
          <w:p w14:paraId="5C62015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Реестр счетов</w:t>
            </w:r>
          </w:p>
          <w:p w14:paraId="36D9477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_Ref154663028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489734D6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Учет и хранение счетов плательщикам</w:t>
            </w:r>
          </w:p>
        </w:tc>
        <w:tc>
          <w:tcPr>
            <w:tcW w:w="1669" w:type="pct"/>
          </w:tcPr>
          <w:p w14:paraId="6BD2CDB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реестра счетов</w:t>
            </w:r>
          </w:p>
        </w:tc>
        <w:tc>
          <w:tcPr>
            <w:tcW w:w="871" w:type="pct"/>
          </w:tcPr>
          <w:p w14:paraId="112A7C0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25E532AC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_Ref147163104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4.3.1</w:t>
            </w:r>
            <w:r>
              <w:rPr>
                <w:szCs w:val="22"/>
              </w:rPr>
              <w:fldChar w:fldCharType="end"/>
            </w:r>
          </w:p>
        </w:tc>
      </w:tr>
      <w:tr w14:paraId="18A67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47" w:hRule="atLeast"/>
        </w:trPr>
        <w:tc>
          <w:tcPr>
            <w:tcW w:w="940" w:type="pct"/>
            <w:vMerge w:val="continue"/>
          </w:tcPr>
          <w:p w14:paraId="76A61C0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D8D557C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1215717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Поиск и просмотр счетов</w:t>
            </w:r>
          </w:p>
        </w:tc>
        <w:tc>
          <w:tcPr>
            <w:tcW w:w="871" w:type="pct"/>
          </w:tcPr>
          <w:p w14:paraId="5BAE4F3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9212C1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_Ref142477237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4.3.2</w:t>
            </w:r>
            <w:r>
              <w:rPr>
                <w:szCs w:val="22"/>
              </w:rPr>
              <w:fldChar w:fldCharType="end"/>
            </w:r>
          </w:p>
        </w:tc>
      </w:tr>
      <w:tr w14:paraId="4E9BF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255" w:hRule="atLeast"/>
        </w:trPr>
        <w:tc>
          <w:tcPr>
            <w:tcW w:w="940" w:type="pct"/>
            <w:vMerge w:val="continue"/>
          </w:tcPr>
          <w:p w14:paraId="4637C155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6400B43E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0A0F8A9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паспорта счета</w:t>
            </w:r>
          </w:p>
        </w:tc>
        <w:tc>
          <w:tcPr>
            <w:tcW w:w="871" w:type="pct"/>
          </w:tcPr>
          <w:p w14:paraId="1145659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2E56AF9D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_Ref142477253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4.3.3</w:t>
            </w:r>
            <w:r>
              <w:rPr>
                <w:szCs w:val="22"/>
              </w:rPr>
              <w:fldChar w:fldCharType="end"/>
            </w:r>
          </w:p>
        </w:tc>
      </w:tr>
      <w:tr w14:paraId="5B2C18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4FD94AB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E13564B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26E26DF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папки «Ошибки» с СЭФД, не вошедшими в счет</w:t>
            </w:r>
          </w:p>
        </w:tc>
        <w:tc>
          <w:tcPr>
            <w:tcW w:w="871" w:type="pct"/>
          </w:tcPr>
          <w:p w14:paraId="57A153BA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315ECD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_Ref505268483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4.3.4</w:t>
            </w:r>
            <w:r>
              <w:rPr>
                <w:szCs w:val="22"/>
              </w:rPr>
              <w:fldChar w:fldCharType="end"/>
            </w:r>
          </w:p>
        </w:tc>
      </w:tr>
      <w:tr w14:paraId="6CA61E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45AEEE2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restart"/>
          </w:tcPr>
          <w:p w14:paraId="62F3A74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Формирование и отправка счетов плательщикам</w:t>
            </w:r>
          </w:p>
        </w:tc>
        <w:tc>
          <w:tcPr>
            <w:tcW w:w="1669" w:type="pct"/>
          </w:tcPr>
          <w:p w14:paraId="38666AA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Формирование счета</w:t>
            </w:r>
          </w:p>
        </w:tc>
        <w:tc>
          <w:tcPr>
            <w:tcW w:w="871" w:type="pct"/>
          </w:tcPr>
          <w:p w14:paraId="4C1734AE">
            <w:pPr>
              <w:pStyle w:val="83"/>
              <w:rPr>
                <w:szCs w:val="22"/>
              </w:rPr>
            </w:pPr>
            <w:r>
              <w:t>Оператор МО</w:t>
            </w:r>
          </w:p>
        </w:tc>
        <w:tc>
          <w:tcPr>
            <w:tcW w:w="433" w:type="pct"/>
          </w:tcPr>
          <w:p w14:paraId="314CDC24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_Ref142477306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4.3.5</w:t>
            </w:r>
            <w:r>
              <w:rPr>
                <w:szCs w:val="22"/>
              </w:rPr>
              <w:fldChar w:fldCharType="end"/>
            </w:r>
          </w:p>
        </w:tc>
      </w:tr>
      <w:tr w14:paraId="20F406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3BE380E6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  <w:tcBorders>
              <w:bottom w:val="single" w:color="auto" w:sz="4" w:space="0"/>
            </w:tcBorders>
          </w:tcPr>
          <w:p w14:paraId="21D4D6F1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bottom w:val="single" w:color="auto" w:sz="4" w:space="0"/>
            </w:tcBorders>
          </w:tcPr>
          <w:p w14:paraId="7D4697CA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Подписание счета</w:t>
            </w:r>
          </w:p>
        </w:tc>
        <w:tc>
          <w:tcPr>
            <w:tcW w:w="871" w:type="pct"/>
            <w:tcBorders>
              <w:bottom w:val="single" w:color="auto" w:sz="4" w:space="0"/>
            </w:tcBorders>
          </w:tcPr>
          <w:p w14:paraId="183A2216">
            <w:pPr>
              <w:pStyle w:val="83"/>
              <w:rPr>
                <w:szCs w:val="22"/>
              </w:rPr>
            </w:pPr>
            <w:r>
              <w:t>Оператор МО</w:t>
            </w:r>
          </w:p>
        </w:tc>
        <w:tc>
          <w:tcPr>
            <w:tcW w:w="433" w:type="pct"/>
            <w:tcBorders>
              <w:bottom w:val="single" w:color="auto" w:sz="4" w:space="0"/>
            </w:tcBorders>
          </w:tcPr>
          <w:p w14:paraId="093A69A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_Ref143801432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4.3.6</w:t>
            </w:r>
            <w:r>
              <w:rPr>
                <w:szCs w:val="22"/>
              </w:rPr>
              <w:fldChar w:fldCharType="end"/>
            </w:r>
          </w:p>
        </w:tc>
      </w:tr>
      <w:tr w14:paraId="668F73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211" w:hRule="atLeast"/>
        </w:trPr>
        <w:tc>
          <w:tcPr>
            <w:tcW w:w="940" w:type="pct"/>
            <w:vMerge w:val="continue"/>
          </w:tcPr>
          <w:p w14:paraId="4CA3BC7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  <w:tcBorders>
              <w:bottom w:val="single" w:color="auto" w:sz="4" w:space="0"/>
            </w:tcBorders>
          </w:tcPr>
          <w:p w14:paraId="408266BE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  <w:tcBorders>
              <w:bottom w:val="single" w:color="auto" w:sz="4" w:space="0"/>
            </w:tcBorders>
          </w:tcPr>
          <w:p w14:paraId="65AC595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Отправка счета плательщику</w:t>
            </w:r>
          </w:p>
        </w:tc>
        <w:tc>
          <w:tcPr>
            <w:tcW w:w="871" w:type="pct"/>
            <w:tcBorders>
              <w:bottom w:val="single" w:color="auto" w:sz="4" w:space="0"/>
            </w:tcBorders>
          </w:tcPr>
          <w:p w14:paraId="1FED5CE4">
            <w:pPr>
              <w:pStyle w:val="83"/>
              <w:rPr>
                <w:szCs w:val="22"/>
              </w:rPr>
            </w:pPr>
            <w:r>
              <w:t>Оператор МО</w:t>
            </w:r>
          </w:p>
        </w:tc>
        <w:tc>
          <w:tcPr>
            <w:tcW w:w="433" w:type="pct"/>
            <w:tcBorders>
              <w:bottom w:val="single" w:color="auto" w:sz="4" w:space="0"/>
            </w:tcBorders>
          </w:tcPr>
          <w:p w14:paraId="70116653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_Ref142477416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4.3.7</w:t>
            </w:r>
            <w:r>
              <w:rPr>
                <w:szCs w:val="22"/>
              </w:rPr>
              <w:fldChar w:fldCharType="end"/>
            </w:r>
          </w:p>
        </w:tc>
      </w:tr>
      <w:tr w14:paraId="2F301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28542D3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</w:tcPr>
          <w:p w14:paraId="4057CAF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Расчет стоимости МП</w:t>
            </w:r>
          </w:p>
        </w:tc>
        <w:tc>
          <w:tcPr>
            <w:tcW w:w="1669" w:type="pct"/>
          </w:tcPr>
          <w:p w14:paraId="0311FE6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 стоимости оказанной МП</w:t>
            </w:r>
          </w:p>
        </w:tc>
        <w:tc>
          <w:tcPr>
            <w:tcW w:w="871" w:type="pct"/>
          </w:tcPr>
          <w:p w14:paraId="6458C63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3CB963A2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_Ref142477690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4.2.6.3</w:t>
            </w:r>
            <w:r>
              <w:rPr>
                <w:szCs w:val="22"/>
              </w:rPr>
              <w:fldChar w:fldCharType="end"/>
            </w:r>
          </w:p>
        </w:tc>
      </w:tr>
      <w:tr w14:paraId="2B7598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1E4802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</w:tcPr>
          <w:p w14:paraId="1615A300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ответа плательщика</w:t>
            </w:r>
          </w:p>
        </w:tc>
        <w:tc>
          <w:tcPr>
            <w:tcW w:w="1669" w:type="pct"/>
          </w:tcPr>
          <w:p w14:paraId="571B0560">
            <w:pPr>
              <w:pStyle w:val="83"/>
              <w:rPr>
                <w:szCs w:val="22"/>
              </w:rPr>
            </w:pPr>
            <w:bookmarkStart w:id="170" w:name="_Hlk142477735"/>
            <w:r>
              <w:rPr>
                <w:szCs w:val="22"/>
              </w:rPr>
              <w:t>Просмотр результатов МЭК</w:t>
            </w:r>
            <w:bookmarkEnd w:id="170"/>
          </w:p>
        </w:tc>
        <w:tc>
          <w:tcPr>
            <w:tcW w:w="871" w:type="pct"/>
          </w:tcPr>
          <w:p w14:paraId="42AA0D90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10D7376A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_Ref154569636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4.2.9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 xml:space="preserve">, 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_Ref142477749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4.3.9</w:t>
            </w:r>
            <w:r>
              <w:rPr>
                <w:szCs w:val="22"/>
              </w:rPr>
              <w:fldChar w:fldCharType="end"/>
            </w:r>
          </w:p>
        </w:tc>
      </w:tr>
      <w:tr w14:paraId="2CAD42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</w:tcPr>
          <w:p w14:paraId="671FCDC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Повторный МЭК</w:t>
            </w:r>
          </w:p>
          <w:p w14:paraId="3A60CF8E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_Ref201912691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4.3.10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</w:tcPr>
          <w:p w14:paraId="2F07497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результатов повторного МЭК</w:t>
            </w:r>
          </w:p>
        </w:tc>
        <w:tc>
          <w:tcPr>
            <w:tcW w:w="1669" w:type="pct"/>
          </w:tcPr>
          <w:p w14:paraId="459AFE2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результатов повторного МЭК</w:t>
            </w:r>
          </w:p>
        </w:tc>
        <w:tc>
          <w:tcPr>
            <w:tcW w:w="871" w:type="pct"/>
          </w:tcPr>
          <w:p w14:paraId="6614EB6B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B984C2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_Ref201912691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4.3.10</w:t>
            </w:r>
            <w:r>
              <w:rPr>
                <w:szCs w:val="22"/>
              </w:rPr>
              <w:fldChar w:fldCharType="end"/>
            </w:r>
          </w:p>
        </w:tc>
      </w:tr>
      <w:tr w14:paraId="4A49CB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4E6C608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Информационный обмен (ИО)</w:t>
            </w:r>
          </w:p>
          <w:p w14:paraId="2EC128D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_Ref147139692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4.4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4348803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данных информационного обмена</w:t>
            </w:r>
          </w:p>
        </w:tc>
        <w:tc>
          <w:tcPr>
            <w:tcW w:w="1669" w:type="pct"/>
          </w:tcPr>
          <w:p w14:paraId="4F6CB6F2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Поиск и просмотр сведений об отчетах информационного обмена</w:t>
            </w:r>
          </w:p>
        </w:tc>
        <w:tc>
          <w:tcPr>
            <w:tcW w:w="871" w:type="pct"/>
          </w:tcPr>
          <w:p w14:paraId="18B3356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2E13D7C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_Ref143802123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4.4.1</w:t>
            </w:r>
            <w:r>
              <w:rPr>
                <w:szCs w:val="22"/>
              </w:rPr>
              <w:fldChar w:fldCharType="end"/>
            </w:r>
          </w:p>
        </w:tc>
      </w:tr>
      <w:tr w14:paraId="3F6EE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0C188D23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4EB3BE7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6F65CBA1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Выгрузка отчетов информационного обмена</w:t>
            </w:r>
          </w:p>
        </w:tc>
        <w:tc>
          <w:tcPr>
            <w:tcW w:w="871" w:type="pct"/>
          </w:tcPr>
          <w:p w14:paraId="2F41E0F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D6038C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_Ref142497263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4.4.2</w:t>
            </w:r>
            <w:r>
              <w:rPr>
                <w:szCs w:val="22"/>
              </w:rPr>
              <w:fldChar w:fldCharType="end"/>
            </w:r>
          </w:p>
        </w:tc>
      </w:tr>
      <w:tr w14:paraId="0A0D3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1C2D3582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Реестр направлений</w:t>
            </w:r>
          </w:p>
          <w:p w14:paraId="0D6A727A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_Ref155773288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4.5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47B6794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Учет и хранение сведений о входящих/исходящих направлениях</w:t>
            </w:r>
          </w:p>
        </w:tc>
        <w:tc>
          <w:tcPr>
            <w:tcW w:w="1669" w:type="pct"/>
          </w:tcPr>
          <w:p w14:paraId="3E57732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 направлениях</w:t>
            </w:r>
          </w:p>
        </w:tc>
        <w:tc>
          <w:tcPr>
            <w:tcW w:w="871" w:type="pct"/>
          </w:tcPr>
          <w:p w14:paraId="3BE9A19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CEA0D4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_Ref143800924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4.5.1</w:t>
            </w:r>
            <w:r>
              <w:rPr>
                <w:szCs w:val="22"/>
              </w:rPr>
              <w:fldChar w:fldCharType="end"/>
            </w:r>
          </w:p>
        </w:tc>
      </w:tr>
      <w:tr w14:paraId="7E5A1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387DF68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367E153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533C1B2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Регистрация сведений входящего направления</w:t>
            </w:r>
          </w:p>
        </w:tc>
        <w:tc>
          <w:tcPr>
            <w:tcW w:w="871" w:type="pct"/>
          </w:tcPr>
          <w:p w14:paraId="43EA4D2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E9ED4E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_Ref143800930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4.5.2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 xml:space="preserve">, 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_Ref143801089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4.2.3.1</w:t>
            </w:r>
            <w:r>
              <w:rPr>
                <w:szCs w:val="22"/>
              </w:rPr>
              <w:fldChar w:fldCharType="end"/>
            </w:r>
          </w:p>
        </w:tc>
      </w:tr>
      <w:tr w14:paraId="3DF74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0E88453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32943FC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7122009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Регистрация сведений исходящего направления</w:t>
            </w:r>
          </w:p>
        </w:tc>
        <w:tc>
          <w:tcPr>
            <w:tcW w:w="871" w:type="pct"/>
          </w:tcPr>
          <w:p w14:paraId="407DD68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369CF1DC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_Ref143800934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4.5.3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 xml:space="preserve">, 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_Ref143801102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4.2.3.7</w:t>
            </w:r>
            <w:r>
              <w:rPr>
                <w:szCs w:val="22"/>
              </w:rPr>
              <w:fldChar w:fldCharType="end"/>
            </w:r>
          </w:p>
        </w:tc>
      </w:tr>
      <w:tr w14:paraId="26ADCE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40C7E44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E54D51D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27808E4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Поиск и просмотр направлений и талонов на специализированную и высокотехнологичную медицинскую помощь</w:t>
            </w:r>
          </w:p>
        </w:tc>
        <w:tc>
          <w:tcPr>
            <w:tcW w:w="871" w:type="pct"/>
          </w:tcPr>
          <w:p w14:paraId="09DF245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508202A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_Ref164172143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4.5.4</w:t>
            </w:r>
            <w:r>
              <w:rPr>
                <w:szCs w:val="22"/>
              </w:rPr>
              <w:fldChar w:fldCharType="end"/>
            </w:r>
          </w:p>
        </w:tc>
      </w:tr>
      <w:tr w14:paraId="49410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</w:tcPr>
          <w:p w14:paraId="7F4BC612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Экспертиза</w:t>
            </w:r>
          </w:p>
          <w:p w14:paraId="18FA994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_Ref154653240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4.6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</w:tcPr>
          <w:p w14:paraId="60D5F7B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результатов медико-экономической экспертизы и экспертизы качества медицинской помощи</w:t>
            </w:r>
          </w:p>
        </w:tc>
        <w:tc>
          <w:tcPr>
            <w:tcW w:w="1669" w:type="pct"/>
          </w:tcPr>
          <w:p w14:paraId="0B8C8AD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Общие сведения о проведении МЭЭ и ЭКМП</w:t>
            </w:r>
          </w:p>
        </w:tc>
        <w:tc>
          <w:tcPr>
            <w:tcW w:w="871" w:type="pct"/>
          </w:tcPr>
          <w:p w14:paraId="29B7E4E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ED62B1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_Ref154653240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4.6</w:t>
            </w:r>
            <w:r>
              <w:rPr>
                <w:szCs w:val="22"/>
              </w:rPr>
              <w:fldChar w:fldCharType="end"/>
            </w:r>
          </w:p>
        </w:tc>
      </w:tr>
      <w:tr w14:paraId="60BF99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1944CE2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Мониторинг</w:t>
            </w:r>
          </w:p>
          <w:p w14:paraId="7FA56B9B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_Ref142476967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081E176B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Формирование квартального плана</w:t>
            </w:r>
          </w:p>
        </w:tc>
        <w:tc>
          <w:tcPr>
            <w:tcW w:w="1669" w:type="pct"/>
          </w:tcPr>
          <w:p w14:paraId="05750BF6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утвержденных годовых плановых объемов федеральной базовой программы ОМС</w:t>
            </w:r>
          </w:p>
        </w:tc>
        <w:tc>
          <w:tcPr>
            <w:tcW w:w="871" w:type="pct"/>
          </w:tcPr>
          <w:p w14:paraId="765896A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3F98B75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_Ref147163684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4.7.1</w:t>
            </w:r>
            <w:r>
              <w:rPr>
                <w:szCs w:val="22"/>
              </w:rPr>
              <w:fldChar w:fldCharType="end"/>
            </w:r>
          </w:p>
        </w:tc>
      </w:tr>
      <w:tr w14:paraId="634DEB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31742D24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0F49E83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5371D8A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Распределение поквартальное плановых годовых показателей</w:t>
            </w:r>
          </w:p>
        </w:tc>
        <w:tc>
          <w:tcPr>
            <w:tcW w:w="871" w:type="pct"/>
          </w:tcPr>
          <w:p w14:paraId="5191B9C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5E905D0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_Ref147163693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4.7.2</w:t>
            </w:r>
            <w:r>
              <w:rPr>
                <w:szCs w:val="22"/>
              </w:rPr>
              <w:fldChar w:fldCharType="end"/>
            </w:r>
          </w:p>
        </w:tc>
      </w:tr>
      <w:tr w14:paraId="675843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3F3E2D55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F5DDBC9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5EC599EA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Редактирование квартального плана</w:t>
            </w:r>
          </w:p>
        </w:tc>
        <w:tc>
          <w:tcPr>
            <w:tcW w:w="871" w:type="pct"/>
          </w:tcPr>
          <w:p w14:paraId="5DAE956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DA75443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_Ref164172343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4.7.6</w:t>
            </w:r>
            <w:r>
              <w:rPr>
                <w:szCs w:val="22"/>
              </w:rPr>
              <w:fldChar w:fldCharType="end"/>
            </w:r>
          </w:p>
        </w:tc>
      </w:tr>
      <w:tr w14:paraId="369BC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402C7D3C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05CD4822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2F54F1F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Публикация квартального плана</w:t>
            </w:r>
          </w:p>
        </w:tc>
        <w:tc>
          <w:tcPr>
            <w:tcW w:w="871" w:type="pct"/>
          </w:tcPr>
          <w:p w14:paraId="68D300EB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1D72B11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_Ref147163849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4.7.3</w:t>
            </w:r>
            <w:r>
              <w:rPr>
                <w:szCs w:val="22"/>
              </w:rPr>
              <w:fldChar w:fldCharType="end"/>
            </w:r>
          </w:p>
        </w:tc>
      </w:tr>
      <w:tr w14:paraId="3AEC51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1194A28E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restart"/>
          </w:tcPr>
          <w:p w14:paraId="0E2CEE9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Контроль выполнения плановых объемов оказания МП</w:t>
            </w:r>
          </w:p>
        </w:tc>
        <w:tc>
          <w:tcPr>
            <w:tcW w:w="1669" w:type="pct"/>
          </w:tcPr>
          <w:p w14:paraId="6CCACC62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данных о фактических показателях</w:t>
            </w:r>
          </w:p>
        </w:tc>
        <w:tc>
          <w:tcPr>
            <w:tcW w:w="871" w:type="pct"/>
          </w:tcPr>
          <w:p w14:paraId="3B0FB32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458BA34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_Ref147163937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4.7.5</w:t>
            </w:r>
            <w:r>
              <w:rPr>
                <w:szCs w:val="22"/>
              </w:rPr>
              <w:fldChar w:fldCharType="end"/>
            </w:r>
          </w:p>
        </w:tc>
      </w:tr>
      <w:tr w14:paraId="013E5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5BD8F939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DDDE277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3445B224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Редактирование квартальных плановых показателей</w:t>
            </w:r>
          </w:p>
        </w:tc>
        <w:tc>
          <w:tcPr>
            <w:tcW w:w="871" w:type="pct"/>
          </w:tcPr>
          <w:p w14:paraId="70CFF0C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74552376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_Ref164172343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4.7.6</w:t>
            </w:r>
            <w:r>
              <w:rPr>
                <w:szCs w:val="22"/>
              </w:rPr>
              <w:fldChar w:fldCharType="end"/>
            </w:r>
          </w:p>
        </w:tc>
      </w:tr>
      <w:tr w14:paraId="06666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692289A7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Коечный фонд</w:t>
            </w:r>
          </w:p>
          <w:p w14:paraId="72F2C20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_Ref182930566 \r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4.8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660A27E2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Учет доступности коечного фонда МО</w:t>
            </w:r>
          </w:p>
        </w:tc>
        <w:tc>
          <w:tcPr>
            <w:tcW w:w="1669" w:type="pct"/>
          </w:tcPr>
          <w:p w14:paraId="2EA902D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данных коечного фонда в графическом виде</w:t>
            </w:r>
          </w:p>
        </w:tc>
        <w:tc>
          <w:tcPr>
            <w:tcW w:w="871" w:type="pct"/>
          </w:tcPr>
          <w:p w14:paraId="24DF9222">
            <w:pPr>
              <w:pStyle w:val="83"/>
              <w:rPr>
                <w:szCs w:val="22"/>
                <w:lang w:val="en-US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2FF5DE8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_Ref182922805 \r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4.8.1</w:t>
            </w:r>
            <w:r>
              <w:rPr>
                <w:szCs w:val="22"/>
              </w:rPr>
              <w:fldChar w:fldCharType="end"/>
            </w:r>
          </w:p>
        </w:tc>
      </w:tr>
      <w:tr w14:paraId="4DEC6B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654" w:hRule="atLeast"/>
        </w:trPr>
        <w:tc>
          <w:tcPr>
            <w:tcW w:w="940" w:type="pct"/>
            <w:vMerge w:val="continue"/>
          </w:tcPr>
          <w:p w14:paraId="1034560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42D422A1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5F41522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об обороте коечного фонда за период</w:t>
            </w:r>
          </w:p>
        </w:tc>
        <w:tc>
          <w:tcPr>
            <w:tcW w:w="871" w:type="pct"/>
          </w:tcPr>
          <w:p w14:paraId="67F98FF0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C13C7FF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_Ref182926659 \r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4.8.1.1</w:t>
            </w:r>
            <w:r>
              <w:rPr>
                <w:szCs w:val="22"/>
              </w:rPr>
              <w:fldChar w:fldCharType="end"/>
            </w:r>
          </w:p>
        </w:tc>
      </w:tr>
      <w:tr w14:paraId="2D959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648" w:hRule="atLeast"/>
        </w:trPr>
        <w:tc>
          <w:tcPr>
            <w:tcW w:w="940" w:type="pct"/>
            <w:vMerge w:val="continue"/>
          </w:tcPr>
          <w:p w14:paraId="64F0AC7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001465DD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2994779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по учету коечного фонда</w:t>
            </w:r>
          </w:p>
        </w:tc>
        <w:tc>
          <w:tcPr>
            <w:tcW w:w="871" w:type="pct"/>
          </w:tcPr>
          <w:p w14:paraId="3FBCF7C8">
            <w:pPr>
              <w:pStyle w:val="83"/>
              <w:rPr>
                <w:szCs w:val="22"/>
              </w:rPr>
            </w:pPr>
            <w:r>
              <w:t>Оператор МО</w:t>
            </w:r>
          </w:p>
        </w:tc>
        <w:tc>
          <w:tcPr>
            <w:tcW w:w="433" w:type="pct"/>
          </w:tcPr>
          <w:p w14:paraId="4F7A9AE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_Ref182926668 \r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4.8.3</w:t>
            </w:r>
            <w:r>
              <w:rPr>
                <w:szCs w:val="22"/>
              </w:rPr>
              <w:fldChar w:fldCharType="end"/>
            </w:r>
          </w:p>
        </w:tc>
      </w:tr>
      <w:tr w14:paraId="537E76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628" w:hRule="atLeast"/>
        </w:trPr>
        <w:tc>
          <w:tcPr>
            <w:tcW w:w="940" w:type="pct"/>
            <w:vMerge w:val="continue"/>
          </w:tcPr>
          <w:p w14:paraId="257AD46E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743445B7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146381CF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Формирование отчета о доступности коечного фонда</w:t>
            </w:r>
          </w:p>
        </w:tc>
        <w:tc>
          <w:tcPr>
            <w:tcW w:w="871" w:type="pct"/>
          </w:tcPr>
          <w:p w14:paraId="48778D48">
            <w:pPr>
              <w:pStyle w:val="83"/>
              <w:rPr>
                <w:szCs w:val="22"/>
              </w:rPr>
            </w:pPr>
            <w:r>
              <w:t>Оператор МО</w:t>
            </w:r>
          </w:p>
        </w:tc>
        <w:tc>
          <w:tcPr>
            <w:tcW w:w="433" w:type="pct"/>
          </w:tcPr>
          <w:p w14:paraId="2D73EE01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_Hlk182926348 \r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4.8.4</w:t>
            </w:r>
            <w:r>
              <w:rPr>
                <w:szCs w:val="22"/>
              </w:rPr>
              <w:fldChar w:fldCharType="end"/>
            </w:r>
          </w:p>
        </w:tc>
      </w:tr>
      <w:tr w14:paraId="365C6A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608" w:hRule="atLeast"/>
        </w:trPr>
        <w:tc>
          <w:tcPr>
            <w:tcW w:w="940" w:type="pct"/>
            <w:vMerge w:val="continue"/>
          </w:tcPr>
          <w:p w14:paraId="1F6FFD71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65AA12F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7DE64656">
            <w:pPr>
              <w:pStyle w:val="83"/>
              <w:rPr>
                <w:szCs w:val="22"/>
              </w:rPr>
            </w:pPr>
            <w:r>
              <w:t>Просмотр сведений по планируемым показателям свободных мест</w:t>
            </w:r>
          </w:p>
        </w:tc>
        <w:tc>
          <w:tcPr>
            <w:tcW w:w="871" w:type="pct"/>
          </w:tcPr>
          <w:p w14:paraId="06254F47">
            <w:pPr>
              <w:pStyle w:val="83"/>
            </w:pPr>
            <w:r>
              <w:t>Оператор МО</w:t>
            </w:r>
          </w:p>
        </w:tc>
        <w:tc>
          <w:tcPr>
            <w:tcW w:w="433" w:type="pct"/>
          </w:tcPr>
          <w:p w14:paraId="605EF7FC">
            <w:pPr>
              <w:pStyle w:val="82"/>
              <w:rPr>
                <w:szCs w:val="22"/>
              </w:rPr>
            </w:pPr>
            <w:r>
              <w:fldChar w:fldCharType="begin"/>
            </w:r>
            <w:r>
              <w:instrText xml:space="preserve"> REF _Ref185352386 \n \h </w:instrText>
            </w:r>
            <w:r>
              <w:fldChar w:fldCharType="separate"/>
            </w:r>
            <w:r>
              <w:t>4.8.5</w:t>
            </w:r>
            <w:r>
              <w:fldChar w:fldCharType="end"/>
            </w:r>
          </w:p>
        </w:tc>
      </w:tr>
      <w:tr w14:paraId="0C4AEA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5878BFC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Организационно-штатная структура 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_Ref182996310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2B61CC4C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ОШС по данным ФРМО и ФРМР</w:t>
            </w:r>
          </w:p>
        </w:tc>
        <w:tc>
          <w:tcPr>
            <w:tcW w:w="1669" w:type="pct"/>
          </w:tcPr>
          <w:p w14:paraId="61E75061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Актуализация сведений об организационно-штатной структуре в ФРМО и ФРМР</w:t>
            </w:r>
          </w:p>
        </w:tc>
        <w:tc>
          <w:tcPr>
            <w:tcW w:w="871" w:type="pct"/>
          </w:tcPr>
          <w:p w14:paraId="0203921A">
            <w:pPr>
              <w:pStyle w:val="83"/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5E08A265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_Ref182996162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4.9.1</w:t>
            </w:r>
            <w:r>
              <w:rPr>
                <w:szCs w:val="22"/>
              </w:rPr>
              <w:fldChar w:fldCharType="end"/>
            </w:r>
          </w:p>
        </w:tc>
      </w:tr>
      <w:tr w14:paraId="59D31F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F4771C2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22E41AD0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23E55071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 медицинской организации и медицинских работниках</w:t>
            </w:r>
          </w:p>
        </w:tc>
        <w:tc>
          <w:tcPr>
            <w:tcW w:w="871" w:type="pct"/>
          </w:tcPr>
          <w:p w14:paraId="2F4BBF5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07F8409B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_Ref182996172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4.9.2</w:t>
            </w:r>
            <w:r>
              <w:rPr>
                <w:szCs w:val="22"/>
              </w:rPr>
              <w:fldChar w:fldCharType="end"/>
            </w:r>
          </w:p>
        </w:tc>
      </w:tr>
      <w:tr w14:paraId="3D75DC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05FCC4A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562D120A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1A19FDB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медицинской организации</w:t>
            </w:r>
          </w:p>
        </w:tc>
        <w:tc>
          <w:tcPr>
            <w:tcW w:w="871" w:type="pct"/>
          </w:tcPr>
          <w:p w14:paraId="72267D5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49A4419C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_Ref183013685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4.9.3</w:t>
            </w:r>
            <w:r>
              <w:rPr>
                <w:szCs w:val="22"/>
              </w:rPr>
              <w:fldChar w:fldCharType="end"/>
            </w:r>
          </w:p>
        </w:tc>
      </w:tr>
      <w:tr w14:paraId="796EF2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679FA19F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72085023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43F746D3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 структурных подразделениях</w:t>
            </w:r>
          </w:p>
        </w:tc>
        <w:tc>
          <w:tcPr>
            <w:tcW w:w="871" w:type="pct"/>
          </w:tcPr>
          <w:p w14:paraId="0064ED17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3AE83611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_Ref147233499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4.9.4</w:t>
            </w:r>
            <w:r>
              <w:rPr>
                <w:szCs w:val="22"/>
              </w:rPr>
              <w:fldChar w:fldCharType="end"/>
            </w:r>
          </w:p>
        </w:tc>
      </w:tr>
      <w:tr w14:paraId="701DB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3D1BE089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7181CE45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1BD3197D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об отделениях и кабинетах</w:t>
            </w:r>
          </w:p>
        </w:tc>
        <w:tc>
          <w:tcPr>
            <w:tcW w:w="871" w:type="pct"/>
          </w:tcPr>
          <w:p w14:paraId="0C85A3F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7DEFB5C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_Ref147161945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4.9.5</w:t>
            </w:r>
            <w:r>
              <w:rPr>
                <w:szCs w:val="22"/>
              </w:rPr>
              <w:fldChar w:fldCharType="end"/>
            </w:r>
          </w:p>
        </w:tc>
      </w:tr>
      <w:tr w14:paraId="09A27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4FC67916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0C2021A7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47B7C348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Просмотр сведений о занятости медицинских</w:t>
            </w:r>
          </w:p>
        </w:tc>
        <w:tc>
          <w:tcPr>
            <w:tcW w:w="871" w:type="pct"/>
          </w:tcPr>
          <w:p w14:paraId="6FCB8329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D73AC36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_Ref182996243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4.9.6</w:t>
            </w:r>
            <w:r>
              <w:rPr>
                <w:szCs w:val="22"/>
              </w:rPr>
              <w:fldChar w:fldCharType="end"/>
            </w:r>
          </w:p>
        </w:tc>
      </w:tr>
      <w:tr w14:paraId="6E221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restart"/>
          </w:tcPr>
          <w:p w14:paraId="51297A06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Список отчетов</w:t>
            </w:r>
          </w:p>
          <w:p w14:paraId="568319B8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_Ref195096119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4.10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087" w:type="pct"/>
            <w:vMerge w:val="restart"/>
          </w:tcPr>
          <w:p w14:paraId="7E7E8B45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Формирование и просмотр отчетов «План-факт» и «Факт за месяц»</w:t>
            </w:r>
          </w:p>
        </w:tc>
        <w:tc>
          <w:tcPr>
            <w:tcW w:w="1669" w:type="pct"/>
          </w:tcPr>
          <w:p w14:paraId="57B1D7B1">
            <w:pPr>
              <w:pStyle w:val="83"/>
              <w:rPr>
                <w:szCs w:val="22"/>
              </w:rPr>
            </w:pPr>
            <w:r>
              <w:t>Просмотр отчетов</w:t>
            </w:r>
          </w:p>
        </w:tc>
        <w:tc>
          <w:tcPr>
            <w:tcW w:w="871" w:type="pct"/>
          </w:tcPr>
          <w:p w14:paraId="5CAC846E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16155B6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_Ref195097024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4.10.1</w:t>
            </w:r>
            <w:r>
              <w:rPr>
                <w:szCs w:val="22"/>
              </w:rPr>
              <w:fldChar w:fldCharType="end"/>
            </w:r>
          </w:p>
        </w:tc>
      </w:tr>
      <w:tr w14:paraId="54276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40" w:type="pct"/>
            <w:vMerge w:val="continue"/>
          </w:tcPr>
          <w:p w14:paraId="04197D8B">
            <w:pPr>
              <w:pStyle w:val="82"/>
              <w:rPr>
                <w:szCs w:val="22"/>
              </w:rPr>
            </w:pPr>
          </w:p>
        </w:tc>
        <w:tc>
          <w:tcPr>
            <w:tcW w:w="1087" w:type="pct"/>
            <w:vMerge w:val="continue"/>
          </w:tcPr>
          <w:p w14:paraId="60F1F611">
            <w:pPr>
              <w:pStyle w:val="83"/>
              <w:rPr>
                <w:szCs w:val="22"/>
              </w:rPr>
            </w:pPr>
          </w:p>
        </w:tc>
        <w:tc>
          <w:tcPr>
            <w:tcW w:w="1669" w:type="pct"/>
          </w:tcPr>
          <w:p w14:paraId="3D79C956">
            <w:pPr>
              <w:pStyle w:val="83"/>
              <w:rPr>
                <w:szCs w:val="22"/>
              </w:rPr>
            </w:pPr>
            <w:r>
              <w:t>Формирование отчетов</w:t>
            </w:r>
          </w:p>
        </w:tc>
        <w:tc>
          <w:tcPr>
            <w:tcW w:w="871" w:type="pct"/>
          </w:tcPr>
          <w:p w14:paraId="042DB5F2">
            <w:pPr>
              <w:pStyle w:val="83"/>
              <w:rPr>
                <w:szCs w:val="22"/>
              </w:rPr>
            </w:pPr>
            <w:r>
              <w:rPr>
                <w:szCs w:val="22"/>
              </w:rPr>
              <w:t>Оператор МО</w:t>
            </w:r>
          </w:p>
        </w:tc>
        <w:tc>
          <w:tcPr>
            <w:tcW w:w="433" w:type="pct"/>
          </w:tcPr>
          <w:p w14:paraId="68A9C640">
            <w:pPr>
              <w:pStyle w:val="82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_Ref195097030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4.10.2</w:t>
            </w:r>
            <w:r>
              <w:rPr>
                <w:szCs w:val="22"/>
              </w:rPr>
              <w:fldChar w:fldCharType="end"/>
            </w:r>
          </w:p>
        </w:tc>
      </w:tr>
    </w:tbl>
    <w:p w14:paraId="57FDFF61">
      <w:pPr>
        <w:pStyle w:val="44"/>
      </w:pPr>
    </w:p>
    <w:p w14:paraId="463B027B">
      <w:pPr>
        <w:pStyle w:val="38"/>
      </w:pPr>
      <w:bookmarkStart w:id="171" w:name="_Ref142476765"/>
      <w:bookmarkStart w:id="172" w:name="_Toc225871503"/>
      <w:bookmarkStart w:id="173" w:name="_Toc149209634"/>
      <w:bookmarkStart w:id="174" w:name="_Toc131174698"/>
      <w:bookmarkStart w:id="175" w:name="_Ref147139671"/>
      <w:r>
        <w:t>Учет сведений об оказанной медицинской помощи</w:t>
      </w:r>
      <w:bookmarkEnd w:id="171"/>
      <w:bookmarkEnd w:id="172"/>
      <w:bookmarkEnd w:id="173"/>
      <w:bookmarkEnd w:id="174"/>
      <w:bookmarkEnd w:id="175"/>
    </w:p>
    <w:p w14:paraId="60DB0525">
      <w:pPr>
        <w:pStyle w:val="39"/>
      </w:pPr>
      <w:bookmarkStart w:id="176" w:name="_Toc225871504"/>
      <w:r>
        <w:t>Регистрация и передача сведений об оказанной медицинской помощи</w:t>
      </w:r>
      <w:bookmarkEnd w:id="176"/>
    </w:p>
    <w:p w14:paraId="6CAE932D">
      <w:pPr>
        <w:pStyle w:val="44"/>
      </w:pPr>
      <w:r>
        <w:t>Сведения об оказанной медицинской помощи регистрируются по пациенту, идентифицированному в подсистеме «Федеральный единый регистр застрахованных лиц ГИС</w:t>
      </w:r>
      <w:r>
        <w:rPr>
          <w:lang w:val="en-US"/>
        </w:rPr>
        <w:t> </w:t>
      </w:r>
      <w:r>
        <w:t>ОМС» (далее — ФЕРЗЛ) как застрахованное лицо в системе ОМС или как лицо, имеющее право на оказание медицинской помощи по ОМС.</w:t>
      </w:r>
    </w:p>
    <w:p w14:paraId="1C637662">
      <w:pPr>
        <w:pStyle w:val="44"/>
      </w:pPr>
      <w:r>
        <w:t>Регистрация сведений об оказанной медицинской помощи осуществляется путем ввода данных в формы структурированных электронных финансовых документов (СЭФД):</w:t>
      </w:r>
    </w:p>
    <w:p w14:paraId="754EF546">
      <w:pPr>
        <w:pStyle w:val="50"/>
        <w:numPr>
          <w:ilvl w:val="0"/>
          <w:numId w:val="14"/>
        </w:numPr>
      </w:pPr>
      <w:r>
        <w:t>СЭФД СТЦ (СТЦ) — предназначен для регистрации госпитализации в условиях круглосуточного и дневного стационара и заполняется на основе сведений из учетной формы Ф066/у (карта выбывшего из стационара). Датой окончания лечения считается дата выписки пациента из стационара. Допускается внесение данных по незаконченному лечению (до</w:t>
      </w:r>
      <w:r>
        <w:rPr>
          <w:lang w:val="en-US"/>
        </w:rPr>
        <w:t> </w:t>
      </w:r>
      <w:r>
        <w:t>выписки пациента), в таком случае указывается плановая дата выписки;</w:t>
      </w:r>
    </w:p>
    <w:p w14:paraId="712477A9">
      <w:pPr>
        <w:pStyle w:val="50"/>
      </w:pPr>
      <w:r>
        <w:t>СЭФД СМП (СМП) — предназначен для регистрации вызовов скорой и неотложной медицинской помощи и заполняется на основе сведений из учетной формы Ф110/у (карта вызова скорой помощи). Датой окончания оказания МП считается дата и время завершения вызова;</w:t>
      </w:r>
    </w:p>
    <w:p w14:paraId="0F3911E1">
      <w:pPr>
        <w:pStyle w:val="50"/>
      </w:pPr>
      <w:r>
        <w:t>СЭФД АМБ (АМБ)— предназначен для регистрации посещения амбулаторно-поликлинического звена, посещения клинико-диагностического отделения (КДО) стационара, обследования в приемных отделениях стационара при отказе от госпитализации и заполняется на основе сведений учетной формы Ф025у (талон амбулаторного пациента), а также дополнительных полей, в том числе полей, обеспечивающих связь с первичными документами, переданными в ЕГИСЗ. Датой окончания оказания МП считается дата последнего посещения в рамках медицинского случая (обращения, посещения, единичной услуги).</w:t>
      </w:r>
    </w:p>
    <w:p w14:paraId="06168606">
      <w:pPr>
        <w:pStyle w:val="44"/>
      </w:pPr>
      <w:r>
        <w:t>Сведения должны передаваться в течение 24 часов с момента окончания оказания медицинской помощи или выписки пациента из стационара.</w:t>
      </w:r>
    </w:p>
    <w:p w14:paraId="5CE2BA02">
      <w:pPr>
        <w:pStyle w:val="39"/>
      </w:pPr>
      <w:bookmarkStart w:id="177" w:name="_Ref141994168"/>
      <w:bookmarkStart w:id="178" w:name="_Toc225871505"/>
      <w:bookmarkStart w:id="179" w:name="_Toc149209635"/>
      <w:bookmarkStart w:id="180" w:name="_Hlk152320372"/>
      <w:r>
        <w:t>Создание СЭФД</w:t>
      </w:r>
      <w:bookmarkEnd w:id="177"/>
      <w:bookmarkEnd w:id="178"/>
      <w:bookmarkEnd w:id="179"/>
    </w:p>
    <w:bookmarkEnd w:id="180"/>
    <w:p w14:paraId="0106D8CA">
      <w:pPr>
        <w:pStyle w:val="44"/>
      </w:pPr>
      <w:r>
        <w:t>Создание СЭФД, а также поиск и просмотр СЭФД, имеющихся в подсистеме ФПУМП, осуществляется в разделе «Реестр СЭФД».</w:t>
      </w:r>
    </w:p>
    <w:p w14:paraId="7EB76CBC">
      <w:pPr>
        <w:pStyle w:val="44"/>
      </w:pPr>
      <w:bookmarkStart w:id="181" w:name="_Hlk152320350"/>
      <w:r>
        <w:t>Для перехода в раздел нажать в ленте главного меню вкладку «Реестр СЭФД».</w:t>
      </w:r>
    </w:p>
    <w:p w14:paraId="5DD360B5">
      <w:pPr>
        <w:pStyle w:val="44"/>
      </w:pPr>
      <w:r>
        <w:t xml:space="preserve">В рабочей области отобразится «Реестр СЭФД», содержащий список сформированных СЭФД (рис. </w:t>
      </w:r>
      <w:r>
        <w:fldChar w:fldCharType="begin"/>
      </w:r>
      <w:r>
        <w:instrText xml:space="preserve"> REF  _Ref147234625 \h\#\0   \* MERGEFORMAT </w:instrText>
      </w:r>
      <w:r>
        <w:fldChar w:fldCharType="separate"/>
      </w:r>
      <w:r>
        <w:t>23</w:t>
      </w:r>
      <w:r>
        <w:fldChar w:fldCharType="end"/>
      </w:r>
      <w:r>
        <w:t>).</w:t>
      </w:r>
      <w:bookmarkEnd w:id="181"/>
    </w:p>
    <w:p w14:paraId="774C0A30">
      <w:pPr>
        <w:pStyle w:val="48"/>
      </w:pPr>
      <w:bookmarkStart w:id="182" w:name="_Hlk152320358"/>
      <w:r>
        <w:drawing>
          <wp:inline distT="0" distB="0" distL="0" distR="0">
            <wp:extent cx="6119495" cy="3196590"/>
            <wp:effectExtent l="19050" t="19050" r="14605" b="22860"/>
            <wp:docPr id="5370684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68403" name="Рисунок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965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19AA0B3">
      <w:pPr>
        <w:pStyle w:val="49"/>
      </w:pPr>
      <w:bookmarkStart w:id="183" w:name="_Ref1472346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</w:t>
      </w:r>
      <w:r>
        <w:fldChar w:fldCharType="end"/>
      </w:r>
      <w:bookmarkEnd w:id="183"/>
      <w:r>
        <w:t xml:space="preserve"> — Реестр СЭФД</w:t>
      </w:r>
    </w:p>
    <w:bookmarkEnd w:id="182"/>
    <w:p w14:paraId="6413CE10">
      <w:pPr>
        <w:pStyle w:val="44"/>
      </w:pPr>
      <w:bookmarkStart w:id="184" w:name="_Hlk152320408"/>
      <w:r>
        <w:t>Создание СЭФД включает следующие операции:</w:t>
      </w:r>
    </w:p>
    <w:p w14:paraId="66D53040">
      <w:pPr>
        <w:pStyle w:val="51"/>
      </w:pPr>
      <w:r>
        <w:t>выбор типа создаваемого документа (СТЦ, СМП, АМБ);</w:t>
      </w:r>
    </w:p>
    <w:p w14:paraId="1BA8EB6F">
      <w:pPr>
        <w:pStyle w:val="51"/>
      </w:pPr>
      <w:r>
        <w:t>поиск пациента и идентификация по данным ФЕРЗЛ;</w:t>
      </w:r>
    </w:p>
    <w:p w14:paraId="3A5CAF2E">
      <w:pPr>
        <w:pStyle w:val="51"/>
      </w:pPr>
      <w:r>
        <w:t>заполнение формы СЭФД;</w:t>
      </w:r>
    </w:p>
    <w:p w14:paraId="10B957D9">
      <w:pPr>
        <w:pStyle w:val="51"/>
      </w:pPr>
      <w:r>
        <w:t>сохранение СЭФД.</w:t>
      </w:r>
    </w:p>
    <w:p w14:paraId="316BD508">
      <w:pPr>
        <w:pStyle w:val="44"/>
      </w:pPr>
      <w:r>
        <w:t>При сохранении внесенных сведений об оказанной медицинской помощи в СЭФД набор актуальных данных, необходимых для осуществления расчета стоимости МП, сохраняется в ФПУМП в привязке к ОИП и полученным сведениям о пациенте из ФЕРЗЛ.</w:t>
      </w:r>
      <w:bookmarkEnd w:id="184"/>
    </w:p>
    <w:p w14:paraId="4A9D9D48">
      <w:pPr>
        <w:pStyle w:val="44"/>
      </w:pPr>
      <w:r>
        <w:t>Отдельные вкладки формы СЭФД («Ошибки ФЛК», «Детализация расчета» и «Информационная посылка») отображаются только после сохранения СЭФД.</w:t>
      </w:r>
    </w:p>
    <w:p w14:paraId="10D86C66">
      <w:pPr>
        <w:pStyle w:val="40"/>
      </w:pPr>
      <w:bookmarkStart w:id="185" w:name="_Hlk152320459"/>
      <w:bookmarkStart w:id="186" w:name="_Hlk152320466"/>
      <w:r>
        <w:t>Выбор типа создаваемого документа</w:t>
      </w:r>
      <w:bookmarkEnd w:id="185"/>
    </w:p>
    <w:bookmarkEnd w:id="186"/>
    <w:p w14:paraId="59C34C63">
      <w:pPr>
        <w:pStyle w:val="44"/>
      </w:pPr>
      <w:bookmarkStart w:id="187" w:name="_Hlk152320507"/>
      <w:r>
        <w:t>Выбор типа создаваемого документа для перехода в форму и внесения сведений возможен двумя способами:</w:t>
      </w:r>
    </w:p>
    <w:p w14:paraId="345648CF">
      <w:pPr>
        <w:pStyle w:val="50"/>
        <w:numPr>
          <w:ilvl w:val="0"/>
          <w:numId w:val="15"/>
        </w:numPr>
      </w:pPr>
      <w:r>
        <w:t xml:space="preserve">нажать кнопку </w:t>
      </w:r>
      <w:r>
        <w:rPr>
          <w:lang w:eastAsia="en-US"/>
        </w:rPr>
        <w:drawing>
          <wp:inline distT="0" distB="0" distL="0" distR="0">
            <wp:extent cx="179705" cy="223520"/>
            <wp:effectExtent l="19050" t="19050" r="10795" b="24130"/>
            <wp:docPr id="265505031" name="Рисунок 265505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505031" name="Рисунок 26550503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235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«Добавить» в ленте главного меню и в раскрывающемся списке выбрать тип создаваемого документа: СТЦ, СМП или АМБ (рис. </w:t>
      </w:r>
      <w:r>
        <w:fldChar w:fldCharType="begin"/>
      </w:r>
      <w:r>
        <w:instrText xml:space="preserve"> REF  _Ref147244995 \h\#\0   \* MERGEFORMAT </w:instrText>
      </w:r>
      <w:r>
        <w:fldChar w:fldCharType="separate"/>
      </w:r>
      <w:r>
        <w:t>24</w:t>
      </w:r>
      <w:r>
        <w:fldChar w:fldCharType="end"/>
      </w:r>
      <w:r>
        <w:t>).</w:t>
      </w:r>
    </w:p>
    <w:p w14:paraId="59094D3B">
      <w:pPr>
        <w:pStyle w:val="48"/>
      </w:pPr>
      <w:r>
        <w:drawing>
          <wp:inline distT="0" distB="0" distL="0" distR="0">
            <wp:extent cx="6119495" cy="1043940"/>
            <wp:effectExtent l="19050" t="19050" r="14605" b="22860"/>
            <wp:docPr id="1478044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044483" name="Рисунок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439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3E9BFC">
      <w:pPr>
        <w:pStyle w:val="49"/>
      </w:pPr>
      <w:bookmarkStart w:id="188" w:name="_Ref1472449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</w:t>
      </w:r>
      <w:r>
        <w:fldChar w:fldCharType="end"/>
      </w:r>
      <w:bookmarkEnd w:id="188"/>
      <w:r>
        <w:t xml:space="preserve"> — Выбор вида создаваемого документа</w:t>
      </w:r>
    </w:p>
    <w:p w14:paraId="65F31E96">
      <w:pPr>
        <w:pStyle w:val="50"/>
        <w:tabs>
          <w:tab w:val="clear" w:pos="0"/>
        </w:tabs>
        <w:ind w:left="1"/>
      </w:pPr>
      <w:r>
        <w:t xml:space="preserve">нажать </w:t>
      </w:r>
      <w:bookmarkStart w:id="189" w:name="_Hlk164942743"/>
      <w:r>
        <w:t xml:space="preserve">кнопку «Все разделы» </w:t>
      </w:r>
      <w:bookmarkEnd w:id="189"/>
      <w:r>
        <w:t xml:space="preserve">и в раскрывающемся меню в разделе «Реестр СЭФД» выбрать тип создаваемого документа. Например, «Создать СТЦ» (рис. </w:t>
      </w:r>
      <w:r>
        <w:fldChar w:fldCharType="begin"/>
      </w:r>
      <w:r>
        <w:instrText xml:space="preserve"> REF  _Ref147245303 \h\#\0   \* MERGEFORMAT </w:instrText>
      </w:r>
      <w:r>
        <w:fldChar w:fldCharType="separate"/>
      </w:r>
      <w:r>
        <w:t>25</w:t>
      </w:r>
      <w:r>
        <w:fldChar w:fldCharType="end"/>
      </w:r>
      <w:r>
        <w:t>).</w:t>
      </w:r>
      <w:bookmarkEnd w:id="187"/>
    </w:p>
    <w:p w14:paraId="6968070E">
      <w:pPr>
        <w:pStyle w:val="48"/>
      </w:pPr>
      <w:bookmarkStart w:id="190" w:name="_Hlk152320623"/>
      <w:r>
        <w:rPr>
          <w14:ligatures w14:val="standardContextual"/>
        </w:rPr>
        <w:t xml:space="preserve"> </w:t>
      </w:r>
    </w:p>
    <w:p w14:paraId="321B79BC">
      <w:pPr>
        <w:pStyle w:val="48"/>
      </w:pPr>
      <w:r>
        <w:drawing>
          <wp:inline distT="0" distB="0" distL="0" distR="0">
            <wp:extent cx="5399405" cy="1737360"/>
            <wp:effectExtent l="19050" t="19050" r="10795" b="15240"/>
            <wp:docPr id="6096818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681858" name="Рисунок 1"/>
                    <pic:cNvPicPr>
                      <a:picLocks noChangeAspect="1"/>
                    </pic:cNvPicPr>
                  </pic:nvPicPr>
                  <pic:blipFill>
                    <a:blip r:embed="rId48"/>
                    <a:srcRect b="374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7379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33E4039">
      <w:pPr>
        <w:pStyle w:val="49"/>
      </w:pPr>
      <w:bookmarkStart w:id="191" w:name="_Ref14724530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25</w:t>
      </w:r>
      <w:r>
        <w:fldChar w:fldCharType="end"/>
      </w:r>
      <w:bookmarkEnd w:id="191"/>
      <w:r>
        <w:t xml:space="preserve"> — Создание СТЦ</w:t>
      </w:r>
    </w:p>
    <w:bookmarkEnd w:id="190"/>
    <w:p w14:paraId="26328348">
      <w:pPr>
        <w:pStyle w:val="44"/>
      </w:pPr>
      <w:bookmarkStart w:id="192" w:name="_Hlk152320670"/>
      <w:r>
        <w:t>После выбора типа документа откроется соответствующая форма структурированного электронного финансового документа.</w:t>
      </w:r>
      <w:bookmarkEnd w:id="192"/>
    </w:p>
    <w:p w14:paraId="7AE319F3">
      <w:pPr>
        <w:pStyle w:val="40"/>
      </w:pPr>
      <w:bookmarkStart w:id="193" w:name="_Ref154569566"/>
      <w:bookmarkStart w:id="194" w:name="_Hlk152320699"/>
      <w:r>
        <w:t>Поиск пациента и просмотр сведений о пациенте</w:t>
      </w:r>
      <w:bookmarkEnd w:id="193"/>
    </w:p>
    <w:bookmarkEnd w:id="194"/>
    <w:p w14:paraId="6384B003">
      <w:pPr>
        <w:pStyle w:val="44"/>
      </w:pPr>
      <w:bookmarkStart w:id="195" w:name="_Hlk152321498"/>
      <w:bookmarkStart w:id="196" w:name="_Hlk152321490"/>
      <w:r>
        <w:t>Регистрация сведений об оказанной медицинской помощи производится по пациенту, идентифицированному в ФЕРЗЛ. Поиск пациента и просмотр сведений возможен для трех типов пациентов — застрахованные лица (ЗЛ), новорожденные (НР) и неидентифицированные личности (НИЛ).</w:t>
      </w:r>
    </w:p>
    <w:bookmarkEnd w:id="195"/>
    <w:p w14:paraId="1CC0B862">
      <w:pPr>
        <w:pStyle w:val="44"/>
      </w:pPr>
      <w:bookmarkStart w:id="197" w:name="_Hlk152321509"/>
      <w:r>
        <w:t xml:space="preserve">Для поиска пациента необходимо в блоке «Фильтр» развернуть блок поиска «По пациентам», нажав кнопку </w:t>
      </w:r>
      <w:r>
        <w:drawing>
          <wp:inline distT="0" distB="0" distL="0" distR="0">
            <wp:extent cx="179705" cy="194945"/>
            <wp:effectExtent l="19050" t="19050" r="10795" b="14605"/>
            <wp:docPr id="1134354501" name="Рисунок 113435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354501" name="Рисунок 113435450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53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«Развернуть» (рис. </w:t>
      </w:r>
      <w:r>
        <w:fldChar w:fldCharType="begin"/>
      </w:r>
      <w:r>
        <w:instrText xml:space="preserve"> REF  _Ref154422164 \h\#\0   \* MERGEFORMAT </w:instrText>
      </w:r>
      <w:r>
        <w:fldChar w:fldCharType="separate"/>
      </w:r>
      <w:r>
        <w:t>26</w:t>
      </w:r>
      <w:r>
        <w:fldChar w:fldCharType="end"/>
      </w:r>
      <w:r>
        <w:t>).</w:t>
      </w:r>
    </w:p>
    <w:p w14:paraId="286E511C">
      <w:pPr>
        <w:pStyle w:val="48"/>
      </w:pPr>
      <w:r>
        <w:drawing>
          <wp:inline distT="0" distB="0" distL="0" distR="0">
            <wp:extent cx="2519680" cy="5313045"/>
            <wp:effectExtent l="19050" t="19050" r="13970" b="20955"/>
            <wp:docPr id="207959855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598559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31324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2A59EB">
      <w:pPr>
        <w:pStyle w:val="49"/>
      </w:pPr>
      <w:bookmarkStart w:id="198" w:name="_Ref15442216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26</w:t>
      </w:r>
      <w:r>
        <w:fldChar w:fldCharType="end"/>
      </w:r>
      <w:bookmarkEnd w:id="198"/>
      <w:r>
        <w:t xml:space="preserve"> — Раскрытие блока поиска «По пациентам»</w:t>
      </w:r>
    </w:p>
    <w:p w14:paraId="12C84F6F">
      <w:pPr>
        <w:pStyle w:val="44"/>
      </w:pPr>
      <w:r>
        <w:t>Раскроется блок «По пациентам»</w:t>
      </w:r>
      <w:bookmarkStart w:id="199" w:name="_Hlk149226533"/>
      <w:r>
        <w:t xml:space="preserve">. По умолчанию раскрывается блок поиска застрахованных лиц «ЗЛ» (рис. </w:t>
      </w:r>
      <w:r>
        <w:fldChar w:fldCharType="begin"/>
      </w:r>
      <w:r>
        <w:instrText xml:space="preserve"> REF  _Ref154422174 \h\#\0   \* MERGEFORMAT </w:instrText>
      </w:r>
      <w:r>
        <w:fldChar w:fldCharType="separate"/>
      </w:r>
      <w:r>
        <w:t>27</w:t>
      </w:r>
      <w:r>
        <w:fldChar w:fldCharType="end"/>
      </w:r>
      <w:r>
        <w:t>).</w:t>
      </w:r>
      <w:bookmarkEnd w:id="196"/>
      <w:bookmarkEnd w:id="197"/>
    </w:p>
    <w:p w14:paraId="299C1E9B">
      <w:pPr>
        <w:pStyle w:val="48"/>
      </w:pPr>
      <w:r>
        <w:drawing>
          <wp:inline distT="0" distB="0" distL="0" distR="0">
            <wp:extent cx="2339975" cy="6123305"/>
            <wp:effectExtent l="19050" t="19050" r="22225" b="10795"/>
            <wp:docPr id="9682183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218340" name="Рисунок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1233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C2EA0E">
      <w:pPr>
        <w:pStyle w:val="49"/>
      </w:pPr>
      <w:bookmarkStart w:id="200" w:name="_Ref154422174"/>
      <w:bookmarkStart w:id="201" w:name="_Hlk1523217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27</w:t>
      </w:r>
      <w:r>
        <w:fldChar w:fldCharType="end"/>
      </w:r>
      <w:bookmarkEnd w:id="200"/>
      <w:r>
        <w:t xml:space="preserve"> </w:t>
      </w:r>
      <w:bookmarkEnd w:id="201"/>
      <w:bookmarkStart w:id="202" w:name="_Hlk152322131"/>
      <w:r>
        <w:t>— Поиск застрахованного лица</w:t>
      </w:r>
    </w:p>
    <w:p w14:paraId="04359F65">
      <w:pPr>
        <w:pStyle w:val="44"/>
        <w:keepNext/>
      </w:pPr>
      <w:r>
        <w:t>Поиск пациентов и параметры поиска зависят от типа пациента. Возможен переход на вкладки «ЗЛ», «НР», «НИЛ»:</w:t>
      </w:r>
    </w:p>
    <w:p w14:paraId="18309101">
      <w:pPr>
        <w:pStyle w:val="51"/>
      </w:pPr>
      <w:r>
        <w:t>«ЗЛ» — поиск застрахованных лиц возможен как по внешнему идентификатору пациента (полис старого образца, ЕНП, документ, удостоверяющий личность (паспорт, свидетельство о рождении)), так и по ОИП (обезличенный идентификатор пациента);</w:t>
      </w:r>
    </w:p>
    <w:p w14:paraId="1A378664">
      <w:pPr>
        <w:pStyle w:val="51"/>
      </w:pPr>
      <w:r>
        <w:t>«НР» — новорожденные автоматически регистрируются в ФЕРЗЛ при поступлении СЭМД из ЕГИСЗ. Поиск новорожденных возможен по ИД или номеру документа СЭМД, ОИП либо нечетким параметрам — фамилия, дата рождения/смерти, ОИП неподтвержденного законного представителя, ОИД/код МО;</w:t>
      </w:r>
    </w:p>
    <w:p w14:paraId="5F2B788D">
      <w:pPr>
        <w:pStyle w:val="51"/>
      </w:pPr>
      <w:r>
        <w:t>«НИЛ» — для работы с НИЛ пациента необходимо предварительно зарегистрировать в ФЕРЗЛ, в результате чего будет выдан лист регистрации, по которому можно произвести поиск. Также поиск можно произвести по ОИП НИЛ либо нечетким параметрам — ФИО, дата поступления, дата смерти, код МО.</w:t>
      </w:r>
    </w:p>
    <w:p w14:paraId="586CF877">
      <w:pPr>
        <w:pStyle w:val="44"/>
      </w:pPr>
      <w:r>
        <w:t>Выбрать вкладку, соответствующую типу пациента (ЗЛ, НР или НИЛ),</w:t>
      </w:r>
    </w:p>
    <w:p w14:paraId="65D198EA">
      <w:pPr>
        <w:pStyle w:val="44"/>
      </w:pPr>
      <w:r>
        <w:t xml:space="preserve">Примеры блоков поиска новорожденных (НР) и неидентифицированных личностей (НИЛ) приведены на рисунках </w:t>
      </w:r>
      <w:r>
        <w:fldChar w:fldCharType="begin"/>
      </w:r>
      <w:r>
        <w:instrText xml:space="preserve"> REF  _Ref165109243 \h\#\0   \* MERGEFORMAT </w:instrText>
      </w:r>
      <w:r>
        <w:fldChar w:fldCharType="separate"/>
      </w:r>
      <w:r>
        <w:t>28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_Ref165109260 \h\#\0   \* MERGEFORMAT </w:instrText>
      </w:r>
      <w:r>
        <w:fldChar w:fldCharType="separate"/>
      </w:r>
      <w:r>
        <w:t>29</w:t>
      </w:r>
      <w:r>
        <w:fldChar w:fldCharType="end"/>
      </w:r>
      <w:r>
        <w:t>.</w:t>
      </w:r>
    </w:p>
    <w:p w14:paraId="1A99F993">
      <w:pPr>
        <w:pStyle w:val="48"/>
      </w:pPr>
      <w:r>
        <w:drawing>
          <wp:inline distT="0" distB="0" distL="0" distR="0">
            <wp:extent cx="2519680" cy="8124825"/>
            <wp:effectExtent l="19050" t="19050" r="13970" b="9525"/>
            <wp:docPr id="4408027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802707" name="Рисунок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812531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0831C1">
      <w:pPr>
        <w:pStyle w:val="49"/>
      </w:pPr>
      <w:bookmarkStart w:id="203" w:name="_Ref16510924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28</w:t>
      </w:r>
      <w:r>
        <w:fldChar w:fldCharType="end"/>
      </w:r>
      <w:bookmarkEnd w:id="203"/>
      <w:r>
        <w:t xml:space="preserve"> — </w:t>
      </w:r>
      <w:bookmarkStart w:id="204" w:name="_Hlk165109015"/>
      <w:r>
        <w:t xml:space="preserve">Поиск </w:t>
      </w:r>
      <w:bookmarkEnd w:id="204"/>
      <w:r>
        <w:t>новорожденных</w:t>
      </w:r>
    </w:p>
    <w:p w14:paraId="7569792D">
      <w:pPr>
        <w:pStyle w:val="48"/>
      </w:pPr>
      <w:r>
        <w:drawing>
          <wp:inline distT="0" distB="0" distL="0" distR="0">
            <wp:extent cx="2519680" cy="8105775"/>
            <wp:effectExtent l="19050" t="19050" r="13970" b="9525"/>
            <wp:docPr id="1588802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802282" name="Рисунок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810615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5A98CC">
      <w:pPr>
        <w:pStyle w:val="49"/>
      </w:pPr>
      <w:bookmarkStart w:id="205" w:name="_Ref1651092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29</w:t>
      </w:r>
      <w:r>
        <w:fldChar w:fldCharType="end"/>
      </w:r>
      <w:bookmarkEnd w:id="205"/>
      <w:r>
        <w:t xml:space="preserve"> — Поиск неидентифицированных личностей</w:t>
      </w:r>
    </w:p>
    <w:p w14:paraId="645E4DE5">
      <w:pPr>
        <w:pStyle w:val="44"/>
      </w:pPr>
      <w:r>
        <w:t>Указать один из параметров поиска в зависимости от типа и нажать кнопку «Найти».</w:t>
      </w:r>
    </w:p>
    <w:p w14:paraId="1FD42D04">
      <w:pPr>
        <w:pStyle w:val="44"/>
      </w:pPr>
      <w:r>
        <w:t>Результаты поиска отобразятся в блоке «Результаты» (рис. </w:t>
      </w:r>
      <w:r>
        <w:fldChar w:fldCharType="begin"/>
      </w:r>
      <w:r>
        <w:instrText xml:space="preserve"> REF  _Ref154422182 \h\#\0   \* MERGEFORMAT </w:instrText>
      </w:r>
      <w:r>
        <w:fldChar w:fldCharType="separate"/>
      </w:r>
      <w:r>
        <w:t>30</w:t>
      </w:r>
      <w:r>
        <w:fldChar w:fldCharType="end"/>
      </w:r>
      <w:r>
        <w:t>) панели фильтрации и</w:t>
      </w:r>
      <w:r>
        <w:rPr>
          <w:lang w:val="en-US"/>
        </w:rPr>
        <w:t> </w:t>
      </w:r>
      <w:r>
        <w:t>поиска.</w:t>
      </w:r>
    </w:p>
    <w:p w14:paraId="29CFBA9C">
      <w:pPr>
        <w:pStyle w:val="48"/>
      </w:pPr>
      <w:r>
        <w:drawing>
          <wp:inline distT="0" distB="0" distL="0" distR="0">
            <wp:extent cx="2519680" cy="5179060"/>
            <wp:effectExtent l="19050" t="19050" r="13970" b="21590"/>
            <wp:docPr id="1788660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660598" name="Рисунок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1796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36C971">
      <w:pPr>
        <w:pStyle w:val="49"/>
      </w:pPr>
      <w:bookmarkStart w:id="206" w:name="_Ref15442218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30</w:t>
      </w:r>
      <w:r>
        <w:fldChar w:fldCharType="end"/>
      </w:r>
      <w:bookmarkEnd w:id="206"/>
      <w:r>
        <w:t xml:space="preserve"> — Блок «По пациентам». Краткие сведения</w:t>
      </w:r>
    </w:p>
    <w:p w14:paraId="4DDAB490">
      <w:pPr>
        <w:pStyle w:val="44"/>
      </w:pPr>
      <w:r>
        <w:t>В результатах поиска отображаются краткие сведения о пациенте:</w:t>
      </w:r>
    </w:p>
    <w:p w14:paraId="5A4DE136">
      <w:pPr>
        <w:pStyle w:val="51"/>
        <w:rPr>
          <w:lang w:eastAsia="en-US"/>
        </w:rPr>
      </w:pPr>
      <w:r>
        <w:rPr>
          <w:lang w:eastAsia="en-US"/>
        </w:rPr>
        <w:t>фамилия, имя, отчество пациента;</w:t>
      </w:r>
    </w:p>
    <w:p w14:paraId="78C5B9D8">
      <w:pPr>
        <w:pStyle w:val="51"/>
        <w:rPr>
          <w:lang w:eastAsia="en-US"/>
        </w:rPr>
      </w:pPr>
      <w:r>
        <w:rPr>
          <w:lang w:eastAsia="en-US"/>
        </w:rPr>
        <w:t>ОИП и пол пациента;</w:t>
      </w:r>
    </w:p>
    <w:p w14:paraId="54777C84">
      <w:pPr>
        <w:pStyle w:val="51"/>
        <w:rPr>
          <w:lang w:eastAsia="en-US"/>
        </w:rPr>
      </w:pPr>
      <w:r>
        <w:rPr>
          <w:lang w:eastAsia="en-US"/>
        </w:rPr>
        <w:t>дата рождения.</w:t>
      </w:r>
      <w:bookmarkEnd w:id="202"/>
    </w:p>
    <w:p w14:paraId="06F0C746">
      <w:pPr>
        <w:pStyle w:val="44"/>
      </w:pPr>
      <w:bookmarkStart w:id="207" w:name="_Hlk152322258"/>
      <w:bookmarkStart w:id="208" w:name="_Hlk152322248"/>
      <w:r>
        <w:t xml:space="preserve">При нажатии «Подробнее» раскроются расширенные сведения о пациенте (рис. </w:t>
      </w:r>
      <w:r>
        <w:fldChar w:fldCharType="begin"/>
      </w:r>
      <w:r>
        <w:instrText xml:space="preserve"> REF  _Ref154422233 \h\#\0   \* MERGEFORMAT </w:instrText>
      </w:r>
      <w:r>
        <w:fldChar w:fldCharType="separate"/>
      </w:r>
      <w:r>
        <w:t>31</w:t>
      </w:r>
      <w:r>
        <w:fldChar w:fldCharType="end"/>
      </w:r>
      <w:r>
        <w:t>), доступные для просмотра: номер и даты действия полиса, сведения о гражданстве и прикреплении.</w:t>
      </w:r>
      <w:bookmarkEnd w:id="207"/>
    </w:p>
    <w:p w14:paraId="5E196A72">
      <w:pPr>
        <w:pStyle w:val="48"/>
      </w:pPr>
      <w:r>
        <w:drawing>
          <wp:inline distT="0" distB="0" distL="0" distR="0">
            <wp:extent cx="2519680" cy="5250180"/>
            <wp:effectExtent l="19050" t="19050" r="13970" b="26670"/>
            <wp:docPr id="9945231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523199" name="Рисунок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25053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0158317">
      <w:pPr>
        <w:pStyle w:val="49"/>
      </w:pPr>
      <w:bookmarkStart w:id="209" w:name="_Ref154422233"/>
      <w:bookmarkStart w:id="210" w:name="_Hlk1523223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31</w:t>
      </w:r>
      <w:r>
        <w:fldChar w:fldCharType="end"/>
      </w:r>
      <w:bookmarkEnd w:id="209"/>
      <w:r>
        <w:t xml:space="preserve"> — Блок «По пациентам». Расширенные сведения о пациенте</w:t>
      </w:r>
    </w:p>
    <w:bookmarkEnd w:id="210"/>
    <w:p w14:paraId="2452BD82">
      <w:pPr>
        <w:pStyle w:val="44"/>
      </w:pPr>
      <w:bookmarkStart w:id="211" w:name="_Hlk152322344"/>
      <w:r>
        <w:t xml:space="preserve">Чтобы свернуть блок поиска «По пациентам» и вернуться в панель фильтрации нажать кнопку </w:t>
      </w:r>
      <w:r>
        <w:drawing>
          <wp:inline distT="0" distB="0" distL="0" distR="0">
            <wp:extent cx="179705" cy="171450"/>
            <wp:effectExtent l="19050" t="19050" r="10795" b="19050"/>
            <wp:docPr id="979096406" name="Рисунок 979096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96406" name="Рисунок 97909640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716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«Свернуть» слева от наименования блока (рис. </w:t>
      </w:r>
      <w:r>
        <w:fldChar w:fldCharType="begin"/>
      </w:r>
      <w:r>
        <w:instrText xml:space="preserve"> REF  _Hlk152681817 \h\#\0   \* MERGEFORMAT </w:instrText>
      </w:r>
      <w:r>
        <w:fldChar w:fldCharType="separate"/>
      </w:r>
      <w:r>
        <w:t>32</w:t>
      </w:r>
      <w:r>
        <w:fldChar w:fldCharType="end"/>
      </w:r>
      <w:r>
        <w:t>).</w:t>
      </w:r>
    </w:p>
    <w:p w14:paraId="008031AA">
      <w:pPr>
        <w:pStyle w:val="48"/>
      </w:pPr>
      <w:r>
        <w:drawing>
          <wp:inline distT="0" distB="0" distL="0" distR="0">
            <wp:extent cx="2519680" cy="2232025"/>
            <wp:effectExtent l="19050" t="19050" r="13970" b="15875"/>
            <wp:docPr id="90721245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12457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232192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bookmarkEnd w:id="208"/>
    <w:bookmarkEnd w:id="211"/>
    <w:p w14:paraId="5C98CA20">
      <w:pPr>
        <w:pStyle w:val="49"/>
      </w:pPr>
      <w:bookmarkStart w:id="212" w:name="_Hlk1526818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32</w:t>
      </w:r>
      <w:r>
        <w:fldChar w:fldCharType="end"/>
      </w:r>
      <w:bookmarkEnd w:id="212"/>
      <w:r>
        <w:t xml:space="preserve"> — Кнопка для сворачивания блока поиска «По пациентам»</w:t>
      </w:r>
    </w:p>
    <w:bookmarkEnd w:id="199"/>
    <w:p w14:paraId="6C8F2595">
      <w:pPr>
        <w:pStyle w:val="39"/>
        <w:rPr>
          <w:lang w:eastAsia="en-US"/>
        </w:rPr>
      </w:pPr>
      <w:bookmarkStart w:id="213" w:name="_Ref164171894"/>
      <w:bookmarkStart w:id="214" w:name="_Toc225871506"/>
      <w:bookmarkStart w:id="215" w:name="_Toc149209636"/>
      <w:r>
        <w:rPr>
          <w:lang w:eastAsia="en-US"/>
        </w:rPr>
        <w:t>Заполнение СЭФД СТЦ</w:t>
      </w:r>
      <w:bookmarkEnd w:id="213"/>
      <w:bookmarkEnd w:id="214"/>
      <w:bookmarkEnd w:id="215"/>
    </w:p>
    <w:p w14:paraId="4AA1BDEA">
      <w:pPr>
        <w:pStyle w:val="44"/>
      </w:pPr>
      <w:r>
        <w:t xml:space="preserve">СЭФД СТЦ предназначен для регистрации сведений о </w:t>
      </w:r>
      <w:bookmarkStart w:id="216" w:name="_Hlk157426631"/>
      <w:r>
        <w:t>госпитализации в условиях круглосуточного (КС) и дневного (ДС) стационаров</w:t>
      </w:r>
      <w:bookmarkEnd w:id="216"/>
      <w:r>
        <w:t>. Форма СТЦ завершенных случаев заполняется на основе сведений документа «Карта выбывшего из стационара» (Ф066/у).</w:t>
      </w:r>
    </w:p>
    <w:p w14:paraId="39FF8C5B">
      <w:pPr>
        <w:pStyle w:val="44"/>
      </w:pPr>
      <w:bookmarkStart w:id="217" w:name="_Hlk152334053"/>
      <w:r>
        <w:t>Реализована возможность предварительной регистрации данных текущей госпитализации при поступлении пациента (незавершенный случай медицинской помощи) с указанием плановой даты окончания госпитализации вместо даты выбытия.</w:t>
      </w:r>
    </w:p>
    <w:p w14:paraId="1BB84A70">
      <w:pPr>
        <w:pStyle w:val="44"/>
      </w:pPr>
      <w:bookmarkStart w:id="218" w:name="_Hlk152592941"/>
      <w:r>
        <w:t xml:space="preserve">После выбора вида документа «СТЦ» откроется форма «Создание СТЦ» (рис. </w:t>
      </w:r>
      <w:r>
        <w:fldChar w:fldCharType="begin"/>
      </w:r>
      <w:r>
        <w:instrText xml:space="preserve"> REF  _Ref143783442 \h\#\0   \* MERGEFORMAT </w:instrText>
      </w:r>
      <w:r>
        <w:fldChar w:fldCharType="separate"/>
      </w:r>
      <w:r>
        <w:t>33</w:t>
      </w:r>
      <w:r>
        <w:fldChar w:fldCharType="end"/>
      </w:r>
      <w:r>
        <w:t>).</w:t>
      </w:r>
      <w:bookmarkEnd w:id="217"/>
      <w:bookmarkEnd w:id="218"/>
    </w:p>
    <w:p w14:paraId="635ACDF8">
      <w:pPr>
        <w:pStyle w:val="48"/>
      </w:pPr>
      <w:bookmarkStart w:id="219" w:name="_Hlk152756120"/>
      <w:bookmarkStart w:id="220" w:name="_Hlk152334065"/>
      <w:r>
        <w:drawing>
          <wp:inline distT="0" distB="0" distL="0" distR="0">
            <wp:extent cx="6119495" cy="3794125"/>
            <wp:effectExtent l="19050" t="19050" r="14605" b="15875"/>
            <wp:docPr id="17228078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07893" name="Рисунок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941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1B8528F">
      <w:pPr>
        <w:pStyle w:val="49"/>
      </w:pPr>
      <w:bookmarkStart w:id="221" w:name="_Ref14378344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33</w:t>
      </w:r>
      <w:r>
        <w:fldChar w:fldCharType="end"/>
      </w:r>
      <w:bookmarkEnd w:id="221"/>
      <w:r>
        <w:t xml:space="preserve"> — Создание СТЦ</w:t>
      </w:r>
      <w:bookmarkEnd w:id="219"/>
    </w:p>
    <w:bookmarkEnd w:id="220"/>
    <w:p w14:paraId="774430F5">
      <w:pPr>
        <w:pStyle w:val="44"/>
      </w:pPr>
      <w:bookmarkStart w:id="222" w:name="_Hlk152593255"/>
      <w:bookmarkStart w:id="223" w:name="_Hlk152334116"/>
      <w:r>
        <w:t xml:space="preserve">В панели фильтрации в блоке поиска «По пациентам» указать параметры пациента для идентификации по данным ФЕРЗЛ (см. </w:t>
      </w:r>
      <w:r>
        <w:fldChar w:fldCharType="begin"/>
      </w:r>
      <w:r>
        <w:instrText xml:space="preserve"> REF _Ref154569566 \n \h  \* MERGEFORMAT </w:instrText>
      </w:r>
      <w:r>
        <w:fldChar w:fldCharType="separate"/>
      </w:r>
      <w:r>
        <w:t>4.2.2.2</w:t>
      </w:r>
      <w:r>
        <w:fldChar w:fldCharType="end"/>
      </w:r>
      <w:r>
        <w:t>).</w:t>
      </w:r>
      <w:bookmarkEnd w:id="222"/>
    </w:p>
    <w:p w14:paraId="0E170E42">
      <w:pPr>
        <w:pStyle w:val="44"/>
      </w:pPr>
      <w:bookmarkStart w:id="224" w:name="_Hlk152772539"/>
      <w:bookmarkStart w:id="225" w:name="_Hlk152593330"/>
      <w:r>
        <w:t xml:space="preserve">После вывода результатов поиска необходимо просмотреть сведения о застрахованном лице, убедиться в корректности данных и выбрать пациента, нажав на значок </w:t>
      </w:r>
      <w:r>
        <w:drawing>
          <wp:inline distT="0" distB="0" distL="0" distR="0">
            <wp:extent cx="179705" cy="179705"/>
            <wp:effectExtent l="19050" t="19050" r="10795" b="10795"/>
            <wp:docPr id="960351389" name="Рисунок 96035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351389" name="Рисунок 960351389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справа от ФИО пациента. В дальнейшем поиск пациента, идентифицированного в ФПУМП, возможен по ОИП. При этом ряд полей автоматически заполнится актуальными данными, полученными из ФЕРЗЛ.</w:t>
      </w:r>
      <w:bookmarkEnd w:id="223"/>
      <w:bookmarkEnd w:id="224"/>
    </w:p>
    <w:p w14:paraId="258AB925">
      <w:pPr>
        <w:pStyle w:val="44"/>
      </w:pPr>
      <w:bookmarkStart w:id="226" w:name="_Hlk152334188"/>
      <w:r>
        <w:t>Регистрация данных осуществляется путем заполнения подразделов формы СТЦ. Переход в подраздел выполняется выбором одноименной вкладки. Форма создания СТЦ (рис. </w:t>
      </w:r>
      <w:r>
        <w:fldChar w:fldCharType="begin"/>
      </w:r>
      <w:r>
        <w:instrText xml:space="preserve"> REF  _Ref133571922 \h\#\0   \* MERGEFORMAT </w:instrText>
      </w:r>
      <w:r>
        <w:fldChar w:fldCharType="separate"/>
      </w:r>
      <w:r>
        <w:t>34</w:t>
      </w:r>
      <w:r>
        <w:fldChar w:fldCharType="end"/>
      </w:r>
      <w:r>
        <w:t>) содержит следующие вкладки:</w:t>
      </w:r>
      <w:bookmarkEnd w:id="225"/>
    </w:p>
    <w:p w14:paraId="55ED78A3">
      <w:pPr>
        <w:pStyle w:val="51"/>
      </w:pPr>
      <w:bookmarkStart w:id="227" w:name="_Hlk152593360"/>
      <w:r>
        <w:t>«Госпитализация»;</w:t>
      </w:r>
    </w:p>
    <w:p w14:paraId="1239E7E6">
      <w:pPr>
        <w:pStyle w:val="51"/>
      </w:pPr>
      <w:r>
        <w:t>«Диагнозы»;</w:t>
      </w:r>
    </w:p>
    <w:p w14:paraId="52821E7F">
      <w:pPr>
        <w:pStyle w:val="51"/>
      </w:pPr>
      <w:r>
        <w:t>«Движение по отделениям»;</w:t>
      </w:r>
    </w:p>
    <w:bookmarkEnd w:id="227"/>
    <w:p w14:paraId="64D8D3F6">
      <w:pPr>
        <w:pStyle w:val="51"/>
      </w:pPr>
      <w:r>
        <w:t>«Симультанные услуги»;</w:t>
      </w:r>
    </w:p>
    <w:p w14:paraId="6D487ECC">
      <w:pPr>
        <w:pStyle w:val="51"/>
      </w:pPr>
      <w:r>
        <w:t>«Сведения о ЗНО»;</w:t>
      </w:r>
    </w:p>
    <w:p w14:paraId="113550AC">
      <w:pPr>
        <w:pStyle w:val="51"/>
      </w:pPr>
      <w:r>
        <w:t>«Консилиум»;</w:t>
      </w:r>
    </w:p>
    <w:p w14:paraId="45649400">
      <w:pPr>
        <w:pStyle w:val="51"/>
      </w:pPr>
      <w:r>
        <w:t>«Выданные направления».</w:t>
      </w:r>
    </w:p>
    <w:p w14:paraId="3E8EA2B6">
      <w:pPr>
        <w:pStyle w:val="44"/>
      </w:pPr>
      <w:r>
        <w:t>Вкладки «Ошибки ФЛК», «Детализация расчета» и «Информационная посылка» отображаются на форме после сохранения СЭФД.</w:t>
      </w:r>
    </w:p>
    <w:bookmarkEnd w:id="226"/>
    <w:p w14:paraId="5C8D2A49">
      <w:pPr>
        <w:pStyle w:val="48"/>
      </w:pPr>
      <w:bookmarkStart w:id="228" w:name="_Hlk152334211"/>
      <w:bookmarkStart w:id="229" w:name="_Hlk152772627"/>
      <w:bookmarkStart w:id="230" w:name="_Hlk152593488"/>
      <w:r>
        <w:rPr>
          <w14:ligatures w14:val="standardContextual"/>
        </w:rPr>
        <w:drawing>
          <wp:inline distT="0" distB="0" distL="0" distR="0">
            <wp:extent cx="6119495" cy="1344295"/>
            <wp:effectExtent l="19050" t="19050" r="14605" b="27305"/>
            <wp:docPr id="1544807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807483" name="Рисунок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442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A01894">
      <w:pPr>
        <w:pStyle w:val="49"/>
      </w:pPr>
      <w:bookmarkStart w:id="231" w:name="_Ref1335719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34</w:t>
      </w:r>
      <w:r>
        <w:fldChar w:fldCharType="end"/>
      </w:r>
      <w:bookmarkEnd w:id="231"/>
      <w:r>
        <w:t xml:space="preserve"> — Создание СТЦ</w:t>
      </w:r>
    </w:p>
    <w:bookmarkEnd w:id="228"/>
    <w:bookmarkEnd w:id="229"/>
    <w:p w14:paraId="7CDBA5FA">
      <w:pPr>
        <w:pStyle w:val="44"/>
      </w:pPr>
      <w:bookmarkStart w:id="232" w:name="_Hlk152334342"/>
      <w:bookmarkStart w:id="233" w:name="_Hlk152773007"/>
      <w:r>
        <w:t>Каждый подраздел содержит ряд полей, обязательных для заполнения.</w:t>
      </w:r>
    </w:p>
    <w:p w14:paraId="117B66B7">
      <w:pPr>
        <w:pStyle w:val="44"/>
      </w:pPr>
      <w:r>
        <w:t>Некоторые из обязательных полей заполнены значениями по умолчанию (предзаполнены). При необходимости изменения предзаполненных полей возможен выбор значения из раскрывающихся справочников.</w:t>
      </w:r>
      <w:bookmarkEnd w:id="230"/>
      <w:bookmarkEnd w:id="232"/>
      <w:bookmarkEnd w:id="233"/>
    </w:p>
    <w:p w14:paraId="46203227">
      <w:pPr>
        <w:pStyle w:val="44"/>
      </w:pPr>
      <w:r>
        <w:t>Для очистки полей формы нажать кнопку «Очистить» в панели инструментов в правом верхнем углу.</w:t>
      </w:r>
    </w:p>
    <w:p w14:paraId="5C30DA6F">
      <w:pPr>
        <w:pStyle w:val="40"/>
      </w:pPr>
      <w:bookmarkStart w:id="234" w:name="_Ref143801089"/>
      <w:bookmarkStart w:id="235" w:name="_Ref155701480"/>
      <w:bookmarkStart w:id="236" w:name="_Ref147395522"/>
      <w:bookmarkStart w:id="237" w:name="_Toc131174700"/>
      <w:r>
        <w:t>Госпитализация</w:t>
      </w:r>
      <w:bookmarkEnd w:id="234"/>
      <w:bookmarkEnd w:id="235"/>
      <w:bookmarkEnd w:id="236"/>
      <w:bookmarkEnd w:id="237"/>
    </w:p>
    <w:p w14:paraId="7435922D">
      <w:pPr>
        <w:pStyle w:val="44"/>
      </w:pPr>
      <w:bookmarkStart w:id="238" w:name="_Hlk152334501"/>
      <w:bookmarkStart w:id="239" w:name="_Hlk152334490"/>
      <w:r>
        <w:t xml:space="preserve">Подраздел «Госпитализация» (рис. </w:t>
      </w:r>
      <w:r>
        <w:fldChar w:fldCharType="begin"/>
      </w:r>
      <w:r>
        <w:instrText xml:space="preserve"> REF  _Ref490221496 \h\#\0   \* MERGEFORMAT </w:instrText>
      </w:r>
      <w:r>
        <w:fldChar w:fldCharType="separate"/>
      </w:r>
      <w:r>
        <w:t>35</w:t>
      </w:r>
      <w:r>
        <w:fldChar w:fldCharType="end"/>
      </w:r>
      <w:r>
        <w:t>) состоит из блоков: «Поступление», «Прикрепленные СЭМД», «Направление входящее», «ЗНО», «Профиль» и «Исход госпитализации»</w:t>
      </w:r>
      <w:bookmarkEnd w:id="238"/>
      <w:r>
        <w:t xml:space="preserve"> и </w:t>
      </w:r>
      <w:bookmarkStart w:id="240" w:name="_Hlk152604149"/>
      <w:r>
        <w:t>поля указания признака «Исключить из счета» для исключения из счета регистрируемого случая.</w:t>
      </w:r>
      <w:bookmarkEnd w:id="240"/>
    </w:p>
    <w:p w14:paraId="7154A372">
      <w:pPr>
        <w:pStyle w:val="49"/>
        <w:ind w:left="0"/>
        <w:rPr>
          <w:lang w:eastAsia="ru-RU"/>
        </w:rPr>
      </w:pPr>
      <w:bookmarkStart w:id="241" w:name="_Hlk152774035"/>
      <w:bookmarkStart w:id="242" w:name="_Hlk152594808"/>
      <w:r>
        <w:drawing>
          <wp:inline distT="0" distB="0" distL="0" distR="0">
            <wp:extent cx="6119495" cy="3420110"/>
            <wp:effectExtent l="19050" t="19050" r="14605" b="27940"/>
            <wp:docPr id="60421007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10078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2011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668361">
      <w:pPr>
        <w:pStyle w:val="49"/>
      </w:pPr>
      <w:bookmarkStart w:id="243" w:name="_Ref4902214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35</w:t>
      </w:r>
      <w:r>
        <w:fldChar w:fldCharType="end"/>
      </w:r>
      <w:bookmarkEnd w:id="243"/>
      <w:r>
        <w:t xml:space="preserve"> — Создание СТЦ, раздел «Госпитализация»</w:t>
      </w:r>
      <w:bookmarkEnd w:id="239"/>
      <w:bookmarkEnd w:id="241"/>
    </w:p>
    <w:bookmarkEnd w:id="242"/>
    <w:p w14:paraId="32CB0FA8">
      <w:pPr>
        <w:pStyle w:val="44"/>
        <w:keepNext/>
      </w:pPr>
      <w:bookmarkStart w:id="244" w:name="_Hlk152861565"/>
      <w:bookmarkStart w:id="245" w:name="_Hlk152595458"/>
      <w:r>
        <w:t>Блок «Поступление</w:t>
      </w:r>
      <w:bookmarkStart w:id="246" w:name="_Hlk149054423"/>
      <w:r>
        <w:t>» содержит следующий набор полей:</w:t>
      </w:r>
      <w:bookmarkEnd w:id="246"/>
    </w:p>
    <w:p w14:paraId="33247DC5">
      <w:pPr>
        <w:pStyle w:val="51"/>
        <w:keepNext/>
      </w:pPr>
      <w:r>
        <w:t xml:space="preserve">«Номер медкарты» — </w:t>
      </w:r>
      <w:bookmarkStart w:id="247" w:name="_Hlk152598951"/>
      <w:r>
        <w:t xml:space="preserve">обязательное поле. </w:t>
      </w:r>
      <w:bookmarkStart w:id="248" w:name="_Hlk152334753"/>
      <w:r>
        <w:t>Заполняется вручную</w:t>
      </w:r>
      <w:bookmarkEnd w:id="247"/>
      <w:bookmarkEnd w:id="248"/>
      <w:r>
        <w:t>;</w:t>
      </w:r>
    </w:p>
    <w:bookmarkEnd w:id="244"/>
    <w:p w14:paraId="19F9AAF6">
      <w:pPr>
        <w:pStyle w:val="51"/>
      </w:pPr>
      <w:bookmarkStart w:id="249" w:name="_Hlk152337225"/>
      <w:r>
        <w:t xml:space="preserve">«Врач» — обязательное поле. Заполняется выбором значения из </w:t>
      </w:r>
      <w:bookmarkEnd w:id="245"/>
      <w:r>
        <w:t>раскрывающегося справочника ФРМР с учетом занятости. На основании этих данных будет определено отделение, в котором оказана МП, и условия оказания медицинской помощи;</w:t>
      </w:r>
    </w:p>
    <w:p w14:paraId="1A206248">
      <w:pPr>
        <w:pStyle w:val="51"/>
      </w:pPr>
      <w:r>
        <w:t xml:space="preserve">«Дата поступления» — </w:t>
      </w:r>
      <w:bookmarkStart w:id="250" w:name="_Hlk152598340"/>
      <w:r>
        <w:t xml:space="preserve">обязательное поле. Заполняется вручную </w:t>
      </w:r>
      <w:bookmarkStart w:id="251" w:name="_Hlk147408410"/>
      <w:r>
        <w:t>вводом с клавиатуры в формате дд.мм.гггг или выбором значения в календаре</w:t>
      </w:r>
      <w:bookmarkEnd w:id="251"/>
      <w:r>
        <w:t>;</w:t>
      </w:r>
      <w:bookmarkEnd w:id="250"/>
    </w:p>
    <w:p w14:paraId="67671F7F">
      <w:pPr>
        <w:pStyle w:val="51"/>
      </w:pPr>
      <w:r>
        <w:t xml:space="preserve">«Дата выбытия» — обязательное поле для завершенного случая. </w:t>
      </w:r>
      <w:bookmarkStart w:id="252" w:name="_Hlk152603289"/>
      <w:r>
        <w:t>Заполняется вводом с клавиатуры в формате дд.мм.гггг или выбором значения в календаре</w:t>
      </w:r>
      <w:bookmarkEnd w:id="252"/>
      <w:r>
        <w:t>;</w:t>
      </w:r>
    </w:p>
    <w:p w14:paraId="7A3045F1">
      <w:pPr>
        <w:pStyle w:val="51"/>
      </w:pPr>
      <w:r>
        <w:t>«Плановая дата окончания госпитализации» — поле для незавершенного случая госпитализации. Заполняется при предварительной регистрации сведений о текущей госпитализации при поступлении;</w:t>
      </w:r>
    </w:p>
    <w:p w14:paraId="28F82397">
      <w:pPr>
        <w:pStyle w:val="51"/>
      </w:pPr>
      <w:r>
        <w:t xml:space="preserve">«Канал госпитализации» — пути поступления пациента на госпитализацию. Обязательное поле. </w:t>
      </w:r>
      <w:bookmarkStart w:id="253" w:name="_Hlk152602382"/>
      <w:r>
        <w:t>Заполняется выбором значения из раскрывающегося справочника</w:t>
      </w:r>
      <w:bookmarkEnd w:id="253"/>
      <w:r>
        <w:t xml:space="preserve"> 1.2.643.5.1.13.13.11.1496;</w:t>
      </w:r>
    </w:p>
    <w:p w14:paraId="527A2734">
      <w:pPr>
        <w:pStyle w:val="51"/>
      </w:pPr>
      <w:r>
        <w:t>«Результат госпитализации» —</w:t>
      </w:r>
      <w:bookmarkStart w:id="254" w:name="_Hlk152602176"/>
      <w:bookmarkStart w:id="255" w:name="_Hlk152602261"/>
      <w:r>
        <w:t xml:space="preserve"> заполняется выбором значения из раскрывающегося</w:t>
      </w:r>
      <w:bookmarkEnd w:id="254"/>
      <w:r>
        <w:t xml:space="preserve"> Классификатора результатов обращения за медицинской помощью V009</w:t>
      </w:r>
      <w:bookmarkEnd w:id="255"/>
      <w:r>
        <w:t>;</w:t>
      </w:r>
    </w:p>
    <w:p w14:paraId="333EDD71">
      <w:pPr>
        <w:pStyle w:val="51"/>
      </w:pPr>
      <w:r>
        <w:t xml:space="preserve">«Вес пациента, кг» — </w:t>
      </w:r>
      <w:bookmarkStart w:id="256" w:name="_Hlk152598396"/>
      <w:r>
        <w:t>заполняется вручную</w:t>
      </w:r>
      <w:bookmarkEnd w:id="256"/>
      <w:r>
        <w:t>;</w:t>
      </w:r>
    </w:p>
    <w:p w14:paraId="0DC212F1">
      <w:pPr>
        <w:pStyle w:val="51"/>
      </w:pPr>
      <w:r>
        <w:t>«Рост пациента, см» — заполняется вручную;</w:t>
      </w:r>
    </w:p>
    <w:p w14:paraId="695D67B0">
      <w:pPr>
        <w:pStyle w:val="51"/>
      </w:pPr>
      <w:r>
        <w:t xml:space="preserve">«ТПГГ и ПГГ» — </w:t>
      </w:r>
      <w:bookmarkStart w:id="257" w:name="_Hlk152598422"/>
      <w:r>
        <w:t xml:space="preserve">код МО в системе ОМС по справочнику F032 (обязательное поле). </w:t>
      </w:r>
      <w:bookmarkStart w:id="258" w:name="_Hlk152602078"/>
      <w:bookmarkStart w:id="259" w:name="_Hlk152599263"/>
      <w:r>
        <w:t>Заполняется выбором значения из раскрывающегося списка</w:t>
      </w:r>
      <w:bookmarkEnd w:id="257"/>
      <w:bookmarkEnd w:id="258"/>
      <w:r>
        <w:t>.</w:t>
      </w:r>
      <w:bookmarkEnd w:id="249"/>
      <w:bookmarkEnd w:id="259"/>
    </w:p>
    <w:p w14:paraId="3F5FB75C">
      <w:pPr>
        <w:pStyle w:val="44"/>
      </w:pPr>
      <w:bookmarkStart w:id="260" w:name="_Hlk152597588"/>
      <w:bookmarkStart w:id="261" w:name="_Hlk152337289"/>
      <w:r>
        <w:t>Признак «</w:t>
      </w:r>
      <w:bookmarkStart w:id="262" w:name="_Hlk148952356"/>
      <w:r>
        <w:t>Подозрение на противоправные действия</w:t>
      </w:r>
      <w:bookmarkEnd w:id="262"/>
      <w:r>
        <w:t>» устанавливается в случаях наличия у пациента признаков причинения вреда здоровью в результате совершения противоправных действий.</w:t>
      </w:r>
      <w:bookmarkEnd w:id="260"/>
    </w:p>
    <w:p w14:paraId="560A17E4">
      <w:pPr>
        <w:pStyle w:val="44"/>
      </w:pPr>
      <w:r>
        <w:t xml:space="preserve">Поле «Основание установки признака противоправных действий» — </w:t>
      </w:r>
      <w:bookmarkStart w:id="263" w:name="_Hlk152598579"/>
      <w:r>
        <w:t>заполняется выбором значения из раскрывающегося справочника</w:t>
      </w:r>
      <w:bookmarkEnd w:id="263"/>
      <w:r>
        <w:t>.</w:t>
      </w:r>
    </w:p>
    <w:p w14:paraId="5C436D01">
      <w:pPr>
        <w:pStyle w:val="44"/>
      </w:pPr>
      <w:bookmarkStart w:id="264" w:name="_Hlk152602693"/>
      <w:bookmarkStart w:id="265" w:name="_Hlk152597523"/>
      <w:r>
        <w:t xml:space="preserve">«Признак подозрения на ЗНО» — </w:t>
      </w:r>
      <w:bookmarkStart w:id="266" w:name="_Hlk152862675"/>
      <w:r>
        <w:t>признак указывается простановкой флага в поле при наличии подозрений на ЗНО</w:t>
      </w:r>
      <w:bookmarkEnd w:id="264"/>
      <w:r>
        <w:t>.</w:t>
      </w:r>
      <w:bookmarkEnd w:id="265"/>
    </w:p>
    <w:bookmarkEnd w:id="266"/>
    <w:p w14:paraId="21B99DC6">
      <w:pPr>
        <w:pStyle w:val="44"/>
      </w:pPr>
      <w:bookmarkStart w:id="267" w:name="_Hlk152597612"/>
      <w:r>
        <w:t>В блоке «Поступление» обязательно должно быть заполнено одно из полей окончания госпитализации:</w:t>
      </w:r>
    </w:p>
    <w:p w14:paraId="68E689AC">
      <w:pPr>
        <w:pStyle w:val="51"/>
      </w:pPr>
      <w:r>
        <w:t>«Дата выбытия» — завершенный случай МП;</w:t>
      </w:r>
    </w:p>
    <w:bookmarkEnd w:id="267"/>
    <w:p w14:paraId="6F3C7608">
      <w:pPr>
        <w:pStyle w:val="51"/>
      </w:pPr>
      <w:r>
        <w:t>«</w:t>
      </w:r>
      <w:bookmarkStart w:id="268" w:name="_Hlk147141651"/>
      <w:r>
        <w:t xml:space="preserve">Плановая дата окончания </w:t>
      </w:r>
      <w:bookmarkEnd w:id="268"/>
      <w:r>
        <w:t>госпитализации» — незавершенный случай МП.</w:t>
      </w:r>
    </w:p>
    <w:p w14:paraId="7D88F5FB">
      <w:pPr>
        <w:pStyle w:val="44"/>
      </w:pPr>
      <w:r>
        <w:t>При внесении неполных данных по незавершенным случаям госпитализации СЭФД сохраняется в статусе «Черновик» и не попадает в счет.</w:t>
      </w:r>
    </w:p>
    <w:p w14:paraId="0A519FBD">
      <w:pPr>
        <w:pStyle w:val="44"/>
      </w:pPr>
      <w:r>
        <w:t>В счет включаются только завершенные случаи госпитализации после заполнения обязательного поля «Дата выбытия». При этом форма СТЦ уточняется и дополняется необходимыми сведениями документа «Карта выбывшего из стационара» (Ф066/у).</w:t>
      </w:r>
    </w:p>
    <w:p w14:paraId="7869CB61">
      <w:pPr>
        <w:pStyle w:val="44"/>
      </w:pPr>
      <w:r>
        <w:t xml:space="preserve">Блок «Прикрепленные СЭМД» предназначен для прикрепления СЭМД по их идентификаторам и содержит </w:t>
      </w:r>
      <w:bookmarkStart w:id="269" w:name="_Hlk164858919"/>
      <w:r>
        <w:t>следующий набор полей</w:t>
      </w:r>
      <w:bookmarkEnd w:id="269"/>
      <w:r>
        <w:t>:</w:t>
      </w:r>
    </w:p>
    <w:p w14:paraId="0DAC5183">
      <w:pPr>
        <w:pStyle w:val="51"/>
        <w:rPr>
          <w:lang w:eastAsia="en-US"/>
        </w:rPr>
      </w:pPr>
      <w:r>
        <w:t>«ИД выписного эпикриза»;</w:t>
      </w:r>
    </w:p>
    <w:p w14:paraId="26BFB913">
      <w:pPr>
        <w:pStyle w:val="51"/>
        <w:rPr>
          <w:lang w:eastAsia="en-US"/>
        </w:rPr>
      </w:pPr>
      <w:r>
        <w:t>«ИД эл. посмертного эпикриза во внеш. системе»;</w:t>
      </w:r>
    </w:p>
    <w:p w14:paraId="242BE75E">
      <w:pPr>
        <w:pStyle w:val="51"/>
        <w:rPr>
          <w:lang w:eastAsia="en-US"/>
        </w:rPr>
      </w:pPr>
      <w:r>
        <w:t>«Протокол патолого-анатомического вскрытия»</w:t>
      </w:r>
      <w:bookmarkEnd w:id="261"/>
      <w:r>
        <w:t>.</w:t>
      </w:r>
    </w:p>
    <w:p w14:paraId="0B57EE39">
      <w:pPr>
        <w:pStyle w:val="44"/>
        <w:keepNext/>
      </w:pPr>
      <w:bookmarkStart w:id="270" w:name="_Hlk152337423"/>
      <w:r>
        <w:t xml:space="preserve">Заполнение блока «Направление входящее» (рис. </w:t>
      </w:r>
      <w:r>
        <w:fldChar w:fldCharType="begin"/>
      </w:r>
      <w:r>
        <w:instrText xml:space="preserve"> REF  _Ref165116402 \h\#\0   \* MERGEFORMAT </w:instrText>
      </w:r>
      <w:r>
        <w:fldChar w:fldCharType="separate"/>
      </w:r>
      <w:r>
        <w:t>36</w:t>
      </w:r>
      <w:r>
        <w:fldChar w:fldCharType="end"/>
      </w:r>
      <w:r>
        <w:t>) возможно двумя способами:</w:t>
      </w:r>
    </w:p>
    <w:p w14:paraId="475AC39E">
      <w:pPr>
        <w:pStyle w:val="51"/>
        <w:keepNext/>
      </w:pPr>
      <w:r>
        <w:t>автоматически — после ввода номера направления, присвоенного выдавшей МО, если данные направления переданы в ЕГИСЗ медицинской организацией, направившей пациента;</w:t>
      </w:r>
    </w:p>
    <w:p w14:paraId="386128F8">
      <w:pPr>
        <w:pStyle w:val="51"/>
      </w:pPr>
      <w:r>
        <w:t>вручную.</w:t>
      </w:r>
    </w:p>
    <w:p w14:paraId="45F73C9D">
      <w:pPr>
        <w:pStyle w:val="48"/>
      </w:pPr>
      <w:r>
        <w:drawing>
          <wp:inline distT="0" distB="0" distL="0" distR="0">
            <wp:extent cx="6119495" cy="1557655"/>
            <wp:effectExtent l="19050" t="19050" r="14605" b="23495"/>
            <wp:docPr id="8185783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578366" name="Рисунок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576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0DA4D7">
      <w:pPr>
        <w:pStyle w:val="49"/>
      </w:pPr>
      <w:bookmarkStart w:id="271" w:name="_Ref1651164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36</w:t>
      </w:r>
      <w:r>
        <w:fldChar w:fldCharType="end"/>
      </w:r>
      <w:bookmarkEnd w:id="271"/>
      <w:r>
        <w:t xml:space="preserve"> — Создание СЭФД СТЦ. Подраздел «Госпитализация». Блок «Направление входящее»</w:t>
      </w:r>
    </w:p>
    <w:p w14:paraId="6134A0A3">
      <w:pPr>
        <w:pStyle w:val="44"/>
      </w:pPr>
      <w:r>
        <w:t>Для автозаполнения сведений о входящем направления необходимо:</w:t>
      </w:r>
    </w:p>
    <w:p w14:paraId="48C93478">
      <w:pPr>
        <w:pStyle w:val="51"/>
      </w:pPr>
      <w:r>
        <w:t xml:space="preserve">узнать номер направления можно в разделе «Реестр направлений» (см. </w:t>
      </w:r>
      <w:r>
        <w:fldChar w:fldCharType="begin"/>
      </w:r>
      <w:r>
        <w:instrText xml:space="preserve"> REF _Ref155773288 \n \h  \* MERGEFORMAT </w:instrText>
      </w:r>
      <w:r>
        <w:fldChar w:fldCharType="separate"/>
      </w:r>
      <w:r>
        <w:t>4.5</w:t>
      </w:r>
      <w:r>
        <w:fldChar w:fldCharType="end"/>
      </w:r>
      <w:r>
        <w:t>), указав в параметрах поиска ОИП пациента;</w:t>
      </w:r>
    </w:p>
    <w:p w14:paraId="0EC15361">
      <w:pPr>
        <w:pStyle w:val="51"/>
      </w:pPr>
      <w:r>
        <w:t xml:space="preserve">ввести номер направления в поле «Поиск по номеру» и нажать значок </w:t>
      </w:r>
      <w:r>
        <w:drawing>
          <wp:inline distT="0" distB="0" distL="0" distR="0">
            <wp:extent cx="179705" cy="167005"/>
            <wp:effectExtent l="19050" t="19050" r="10795" b="23495"/>
            <wp:docPr id="16511883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188348" name="Рисунок 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6714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«Поиск» (рис. </w:t>
      </w:r>
      <w:r>
        <w:fldChar w:fldCharType="begin"/>
      </w:r>
      <w:r>
        <w:instrText xml:space="preserve"> REF  _Ref165117478 \h\#\0   \* MERGEFORMAT </w:instrText>
      </w:r>
      <w:r>
        <w:fldChar w:fldCharType="separate"/>
      </w:r>
      <w:r>
        <w:t>37</w:t>
      </w:r>
      <w:r>
        <w:fldChar w:fldCharType="end"/>
      </w:r>
      <w:r>
        <w:t>).</w:t>
      </w:r>
    </w:p>
    <w:p w14:paraId="76AD0B4B">
      <w:pPr>
        <w:pStyle w:val="48"/>
      </w:pPr>
      <w:r>
        <w:drawing>
          <wp:inline distT="0" distB="0" distL="0" distR="0">
            <wp:extent cx="6119495" cy="910590"/>
            <wp:effectExtent l="19050" t="19050" r="14605" b="22860"/>
            <wp:docPr id="774832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83275" name="Рисунок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105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D0D479">
      <w:pPr>
        <w:pStyle w:val="49"/>
      </w:pPr>
      <w:bookmarkStart w:id="272" w:name="_Ref1651174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37</w:t>
      </w:r>
      <w:r>
        <w:fldChar w:fldCharType="end"/>
      </w:r>
      <w:bookmarkEnd w:id="272"/>
      <w:r>
        <w:t xml:space="preserve"> — Активация поиска направления по номеру</w:t>
      </w:r>
    </w:p>
    <w:p w14:paraId="7E603295">
      <w:pPr>
        <w:pStyle w:val="51"/>
      </w:pPr>
      <w:r>
        <w:t xml:space="preserve">подтвердить прикрепление направления к СЭФД (рис. </w:t>
      </w:r>
      <w:r>
        <w:fldChar w:fldCharType="begin"/>
      </w:r>
      <w:r>
        <w:instrText xml:space="preserve"> REF  _Ref165117662 \h\#\0 \  \* MERGEFORMAT </w:instrText>
      </w:r>
      <w:r>
        <w:fldChar w:fldCharType="separate"/>
      </w:r>
      <w:r>
        <w:t>38</w:t>
      </w:r>
      <w:r>
        <w:fldChar w:fldCharType="end"/>
      </w:r>
      <w:r>
        <w:t>).</w:t>
      </w:r>
    </w:p>
    <w:p w14:paraId="2E260608">
      <w:pPr>
        <w:pStyle w:val="48"/>
      </w:pPr>
      <w:r>
        <w:drawing>
          <wp:inline distT="0" distB="0" distL="0" distR="0">
            <wp:extent cx="2159635" cy="822960"/>
            <wp:effectExtent l="19050" t="19050" r="12065" b="15240"/>
            <wp:docPr id="19566881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88174" name="Рисунок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2346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648F55">
      <w:pPr>
        <w:pStyle w:val="49"/>
      </w:pPr>
      <w:bookmarkStart w:id="273" w:name="_Ref1651176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38</w:t>
      </w:r>
      <w:r>
        <w:fldChar w:fldCharType="end"/>
      </w:r>
      <w:bookmarkEnd w:id="273"/>
      <w:r>
        <w:t xml:space="preserve"> — Подтверждение</w:t>
      </w:r>
    </w:p>
    <w:p w14:paraId="6A39B58D">
      <w:pPr>
        <w:pStyle w:val="44"/>
      </w:pPr>
      <w:r>
        <w:t>Поля блока заполнятся автоматически по данным Реестра направлений.</w:t>
      </w:r>
    </w:p>
    <w:p w14:paraId="603F8EF1">
      <w:pPr>
        <w:pStyle w:val="48"/>
      </w:pPr>
      <w:r>
        <w:drawing>
          <wp:inline distT="0" distB="0" distL="0" distR="0">
            <wp:extent cx="6119495" cy="833755"/>
            <wp:effectExtent l="19050" t="19050" r="14605" b="23495"/>
            <wp:docPr id="137436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608" name="Рисунок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337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B08B02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39</w:t>
      </w:r>
      <w:r>
        <w:fldChar w:fldCharType="end"/>
      </w:r>
      <w:r>
        <w:t xml:space="preserve"> — Заполненные поля входящего направления</w:t>
      </w:r>
    </w:p>
    <w:p w14:paraId="63BCA7D4">
      <w:pPr>
        <w:pStyle w:val="44"/>
      </w:pPr>
      <w:r>
        <w:t>В случае отсутствия сведений о направлении в Реестре направлений необходимо вручную заполнить следующие поля:</w:t>
      </w:r>
    </w:p>
    <w:p w14:paraId="4C99C1B1">
      <w:pPr>
        <w:pStyle w:val="51"/>
      </w:pPr>
      <w:bookmarkStart w:id="274" w:name="_Hlk143536504"/>
      <w:r>
        <w:t>«Вид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справочника;</w:t>
      </w:r>
    </w:p>
    <w:p w14:paraId="41A87C3E">
      <w:pPr>
        <w:pStyle w:val="51"/>
      </w:pPr>
      <w:r>
        <w:t>«Номер направления» — обязательное поле;</w:t>
      </w:r>
    </w:p>
    <w:p w14:paraId="77B3214C">
      <w:pPr>
        <w:pStyle w:val="51"/>
      </w:pPr>
      <w:r>
        <w:t>«Дата направления» — обязательное поле;</w:t>
      </w:r>
    </w:p>
    <w:p w14:paraId="2E116B74">
      <w:pPr>
        <w:pStyle w:val="51"/>
      </w:pPr>
      <w:r>
        <w:t xml:space="preserve">«Тип организации, выдавшей направление» — </w:t>
      </w:r>
      <w:bookmarkStart w:id="275" w:name="_Hlk149145717"/>
      <w:r>
        <w:t>обязательное поле, заполняется выбором значения из раскрывающегося справочника</w:t>
      </w:r>
      <w:bookmarkEnd w:id="275"/>
      <w:r>
        <w:t>;</w:t>
      </w:r>
    </w:p>
    <w:p w14:paraId="6D540AF1">
      <w:pPr>
        <w:pStyle w:val="51"/>
      </w:pPr>
      <w:r>
        <w:t>«Диагноз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справочника;</w:t>
      </w:r>
    </w:p>
    <w:p w14:paraId="4C34BC88">
      <w:pPr>
        <w:pStyle w:val="51"/>
      </w:pPr>
      <w:r>
        <w:t>«ИД электронного направления во внешней системе»;</w:t>
      </w:r>
    </w:p>
    <w:p w14:paraId="1E318659">
      <w:pPr>
        <w:pStyle w:val="51"/>
      </w:pPr>
      <w:r>
        <w:t>«Номер версии электронного направления во внеш. системе»;</w:t>
      </w:r>
    </w:p>
    <w:p w14:paraId="6CFBCF1C">
      <w:pPr>
        <w:pStyle w:val="51"/>
      </w:pPr>
      <w:r>
        <w:t>«Внешняя система источник электронного документа».</w:t>
      </w:r>
    </w:p>
    <w:bookmarkEnd w:id="274"/>
    <w:p w14:paraId="02AD444C">
      <w:pPr>
        <w:pStyle w:val="44"/>
      </w:pPr>
      <w:r>
        <w:t xml:space="preserve">В случае отсутствия идентификатора СЭМД в бумажной версии входящего направления узнать идентификатор СЭМД можно на вкладке «Реестр направлений» (см. </w:t>
      </w:r>
      <w:r>
        <w:fldChar w:fldCharType="begin"/>
      </w:r>
      <w:r>
        <w:instrText xml:space="preserve"> REF _Ref155773288 \n \h  \* MERGEFORMAT </w:instrText>
      </w:r>
      <w:r>
        <w:fldChar w:fldCharType="separate"/>
      </w:r>
      <w:r>
        <w:t>4.5</w:t>
      </w:r>
      <w:r>
        <w:fldChar w:fldCharType="end"/>
      </w:r>
      <w:r>
        <w:t>).</w:t>
      </w:r>
    </w:p>
    <w:p w14:paraId="4C21CCE2">
      <w:pPr>
        <w:pStyle w:val="44"/>
      </w:pPr>
      <w:r>
        <w:t>Для обогащения СЭФД СТЦ данными ЕГИСЗ необходимо:</w:t>
      </w:r>
    </w:p>
    <w:p w14:paraId="47BDD990">
      <w:pPr>
        <w:pStyle w:val="51"/>
      </w:pPr>
      <w:r>
        <w:t>ввести в поле «</w:t>
      </w:r>
      <w:bookmarkStart w:id="276" w:name="_Hlk164860988"/>
      <w:r>
        <w:t>ИД электронного направления во внешней системе</w:t>
      </w:r>
      <w:bookmarkEnd w:id="276"/>
      <w:r>
        <w:t>» идентификатор СЭМД в ЕГИСЗ;</w:t>
      </w:r>
    </w:p>
    <w:p w14:paraId="59504386">
      <w:pPr>
        <w:pStyle w:val="51"/>
      </w:pPr>
      <w:r>
        <w:t>ввести в поле «Плановая дата окончания госпитализации» планируемую дату выписки пациента;</w:t>
      </w:r>
    </w:p>
    <w:p w14:paraId="773B6031">
      <w:pPr>
        <w:pStyle w:val="51"/>
      </w:pPr>
      <w:r>
        <w:t>нажать кнопку «Сохранить».</w:t>
      </w:r>
    </w:p>
    <w:p w14:paraId="06D79488">
      <w:pPr>
        <w:pStyle w:val="44"/>
      </w:pPr>
      <w:r>
        <w:t>После нажатия кнопки «Сохранить» СЭФД сохраняется в статусе «Черновик» (значение «000»).</w:t>
      </w:r>
    </w:p>
    <w:p w14:paraId="1769C720">
      <w:pPr>
        <w:pStyle w:val="46"/>
      </w:pPr>
      <w:r>
        <w:rPr>
          <w:rStyle w:val="47"/>
        </w:rPr>
        <w:t>Примечание —</w:t>
      </w:r>
      <w:r>
        <w:t xml:space="preserve"> СЭФД с незавершенными случаями госпитализации не включаются в счет и не учитываются в показателях фактически оказанной МП до момента указания оператором МО даты окончания госпитализации в поле «Дата выбытия».</w:t>
      </w:r>
    </w:p>
    <w:p w14:paraId="39F6D0F5">
      <w:pPr>
        <w:pStyle w:val="44"/>
      </w:pPr>
      <w:r>
        <w:t>По данным ЕГИСЗ следующие обязательные поля СЭФД заполнятся автоматически:</w:t>
      </w:r>
    </w:p>
    <w:p w14:paraId="37A852C5">
      <w:pPr>
        <w:pStyle w:val="51"/>
      </w:pPr>
      <w:r>
        <w:t>«Вид направления»;</w:t>
      </w:r>
    </w:p>
    <w:p w14:paraId="4F7C1B9E">
      <w:pPr>
        <w:pStyle w:val="51"/>
      </w:pPr>
      <w:r>
        <w:t>«Номер»;</w:t>
      </w:r>
    </w:p>
    <w:p w14:paraId="673C643F">
      <w:pPr>
        <w:pStyle w:val="51"/>
      </w:pPr>
      <w:r>
        <w:t>«Дата»;</w:t>
      </w:r>
    </w:p>
    <w:p w14:paraId="12DEBBA7">
      <w:pPr>
        <w:pStyle w:val="51"/>
      </w:pPr>
      <w:r>
        <w:t>«Диагноз направления»;</w:t>
      </w:r>
    </w:p>
    <w:p w14:paraId="05D1A554">
      <w:pPr>
        <w:pStyle w:val="51"/>
      </w:pPr>
      <w:r>
        <w:t>«Должность направившего медработника»;</w:t>
      </w:r>
    </w:p>
    <w:p w14:paraId="56C028B5">
      <w:pPr>
        <w:pStyle w:val="51"/>
      </w:pPr>
      <w:r>
        <w:t>«МО, в которую направлен пациент»;</w:t>
      </w:r>
    </w:p>
    <w:p w14:paraId="24E69381">
      <w:pPr>
        <w:pStyle w:val="51"/>
      </w:pPr>
      <w:r>
        <w:t>«Профиль СМП» — только для направления на специализированную медицинскую помощь (СМП);</w:t>
      </w:r>
    </w:p>
    <w:p w14:paraId="42AB4759">
      <w:pPr>
        <w:pStyle w:val="51"/>
      </w:pPr>
      <w:r>
        <w:t>«Вид ВМП» — только для направления на высокотехнологичную медицинскую помощь (ВМП).</w:t>
      </w:r>
    </w:p>
    <w:p w14:paraId="5008E66C">
      <w:pPr>
        <w:pStyle w:val="44"/>
      </w:pPr>
      <w:r>
        <w:t>При этом поля, заполненные по данным ЕГИСЗ, недоступны для редактирования.</w:t>
      </w:r>
    </w:p>
    <w:p w14:paraId="007CA83C">
      <w:pPr>
        <w:pStyle w:val="44"/>
      </w:pPr>
      <w:r>
        <w:t>По завершении процесса обогащения документа данными из ЕГИСЗ следует убедиться в корректности подгруженных данных.</w:t>
      </w:r>
    </w:p>
    <w:p w14:paraId="494EC7F5">
      <w:pPr>
        <w:pStyle w:val="44"/>
      </w:pPr>
      <w:r>
        <w:t>При выявлении расхождения подгруженных данных со сведениями направления, а также в случае отсутствия идентификатора СЭМД входящего направления необходимо:</w:t>
      </w:r>
    </w:p>
    <w:p w14:paraId="6C5AD0B3">
      <w:pPr>
        <w:pStyle w:val="50"/>
        <w:numPr>
          <w:ilvl w:val="0"/>
          <w:numId w:val="16"/>
        </w:numPr>
      </w:pPr>
      <w:r>
        <w:t>убедиться в корректности введенного номера, при необходимости повторить поиск по номеру;</w:t>
      </w:r>
    </w:p>
    <w:p w14:paraId="6E59EAC1">
      <w:pPr>
        <w:pStyle w:val="50"/>
        <w:numPr>
          <w:ilvl w:val="0"/>
          <w:numId w:val="16"/>
        </w:numPr>
      </w:pPr>
      <w:r>
        <w:t>очистить поле «ИД электронного направления во внешней системе»;</w:t>
      </w:r>
    </w:p>
    <w:p w14:paraId="0A8FD0DF">
      <w:pPr>
        <w:pStyle w:val="50"/>
        <w:numPr>
          <w:ilvl w:val="0"/>
          <w:numId w:val="16"/>
        </w:numPr>
      </w:pPr>
      <w:r>
        <w:t>ввести сведения вручную, заполнив обязательные поля.</w:t>
      </w:r>
    </w:p>
    <w:p w14:paraId="5DADB381">
      <w:pPr>
        <w:pStyle w:val="44"/>
      </w:pPr>
      <w:r>
        <w:t xml:space="preserve">Для направлений на специализированную медицинскую помощь (СпМП) и высокотехнологичную медицинскую помощь (ВМП) после выбора в поле «Вид направления» вида направления отобразится блок «Талон» (рис. </w:t>
      </w:r>
      <w:r>
        <w:fldChar w:fldCharType="begin"/>
      </w:r>
      <w:r>
        <w:instrText xml:space="preserve"> REF  _Ref165123692 \h\#\0   \* MERGEFORMAT </w:instrText>
      </w:r>
      <w:r>
        <w:fldChar w:fldCharType="separate"/>
      </w:r>
      <w:r>
        <w:t>40</w:t>
      </w:r>
      <w:r>
        <w:fldChar w:fldCharType="end"/>
      </w:r>
      <w:r>
        <w:t>).</w:t>
      </w:r>
    </w:p>
    <w:p w14:paraId="699FBBE3">
      <w:pPr>
        <w:pStyle w:val="48"/>
      </w:pPr>
      <w:r>
        <w:drawing>
          <wp:inline distT="0" distB="0" distL="0" distR="0">
            <wp:extent cx="6119495" cy="2392045"/>
            <wp:effectExtent l="19050" t="19050" r="14605" b="27305"/>
            <wp:docPr id="2458204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0415" name="Рисунок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920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6868528">
      <w:pPr>
        <w:pStyle w:val="49"/>
      </w:pPr>
      <w:bookmarkStart w:id="277" w:name="_Ref16512369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40</w:t>
      </w:r>
      <w:r>
        <w:fldChar w:fldCharType="end"/>
      </w:r>
      <w:bookmarkEnd w:id="277"/>
      <w:r>
        <w:t xml:space="preserve"> — Блок «Направление входящее». Талон</w:t>
      </w:r>
    </w:p>
    <w:p w14:paraId="7D24A82E">
      <w:pPr>
        <w:pStyle w:val="44"/>
      </w:pPr>
      <w:bookmarkStart w:id="278" w:name="_Hlk152604585"/>
      <w:r>
        <w:t>Поле «ЗНО» «Вид направления (ЗНО)» — обязательное при диагнозе ЗНО, заполняется выбором значения из раскрывающегося справочника</w:t>
      </w:r>
      <w:bookmarkEnd w:id="278"/>
      <w:r>
        <w:t>.</w:t>
      </w:r>
    </w:p>
    <w:p w14:paraId="0D06764C">
      <w:pPr>
        <w:pStyle w:val="44"/>
      </w:pPr>
      <w:bookmarkStart w:id="279" w:name="_Hlk152604722"/>
      <w:r>
        <w:t>Поле «Профиль» «Профиль медицинской помощи» — обязательное поле, заполняется выбором значения из раскрывающегося справочника.</w:t>
      </w:r>
      <w:bookmarkEnd w:id="279"/>
    </w:p>
    <w:p w14:paraId="391CD8AA">
      <w:pPr>
        <w:pStyle w:val="44"/>
      </w:pPr>
      <w:r>
        <w:t>Блок «Исход госпитализации» содержит поле:</w:t>
      </w:r>
    </w:p>
    <w:p w14:paraId="4BF4EA5F">
      <w:pPr>
        <w:pStyle w:val="51"/>
      </w:pPr>
      <w:r>
        <w:t>«Исход госпитализации»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Классификатора исходов заболевания V012.</w:t>
      </w:r>
    </w:p>
    <w:bookmarkEnd w:id="270"/>
    <w:p w14:paraId="05A12F12">
      <w:pPr>
        <w:pStyle w:val="40"/>
      </w:pPr>
      <w:bookmarkStart w:id="280" w:name="_Toc131174701"/>
      <w:r>
        <w:t>Диагнозы</w:t>
      </w:r>
      <w:bookmarkEnd w:id="280"/>
    </w:p>
    <w:p w14:paraId="13978348">
      <w:pPr>
        <w:pStyle w:val="44"/>
      </w:pPr>
      <w:bookmarkStart w:id="281" w:name="_Hlk152865672"/>
      <w:bookmarkStart w:id="282" w:name="_Hlk152665293"/>
      <w:r>
        <w:t xml:space="preserve">В разделе «Диагнозы» (рис. </w:t>
      </w:r>
      <w:r>
        <w:fldChar w:fldCharType="begin"/>
      </w:r>
      <w:r>
        <w:instrText xml:space="preserve"> REF  _Ref116998275 \h\#\0   \* MERGEFORMAT </w:instrText>
      </w:r>
      <w:r>
        <w:fldChar w:fldCharType="separate"/>
      </w:r>
      <w:r>
        <w:t>41</w:t>
      </w:r>
      <w:r>
        <w:fldChar w:fldCharType="end"/>
      </w:r>
      <w:r>
        <w:t>) осуществляется ввод сведений о диагнозах.</w:t>
      </w:r>
      <w:bookmarkEnd w:id="281"/>
    </w:p>
    <w:p w14:paraId="36942E69">
      <w:pPr>
        <w:pStyle w:val="44"/>
      </w:pPr>
      <w:r>
        <w:t>Поля «Диагноз приемного отделения» и «Основное заболевание» обязательны для заполнения.</w:t>
      </w:r>
      <w:bookmarkEnd w:id="282"/>
    </w:p>
    <w:p w14:paraId="5EF95715">
      <w:pPr>
        <w:pStyle w:val="48"/>
      </w:pPr>
      <w:bookmarkStart w:id="283" w:name="_Hlk152866570"/>
      <w:bookmarkStart w:id="284" w:name="_Hlk152665315"/>
      <w:r>
        <w:drawing>
          <wp:inline distT="0" distB="0" distL="0" distR="0">
            <wp:extent cx="6119495" cy="3880485"/>
            <wp:effectExtent l="19050" t="19050" r="14605" b="24765"/>
            <wp:docPr id="5865730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573064" name="Рисунок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804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0D0A475">
      <w:pPr>
        <w:pStyle w:val="49"/>
      </w:pPr>
      <w:bookmarkStart w:id="285" w:name="_Ref1169982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41</w:t>
      </w:r>
      <w:r>
        <w:fldChar w:fldCharType="end"/>
      </w:r>
      <w:bookmarkEnd w:id="285"/>
      <w:r>
        <w:t xml:space="preserve"> — </w:t>
      </w:r>
      <w:bookmarkStart w:id="286" w:name="_Hlk142050414"/>
      <w:r>
        <w:t xml:space="preserve">Создание СТЦ. </w:t>
      </w:r>
      <w:bookmarkStart w:id="287" w:name="_Hlk143796032"/>
      <w:r>
        <w:t>Диагнозы</w:t>
      </w:r>
      <w:bookmarkEnd w:id="286"/>
      <w:bookmarkEnd w:id="287"/>
    </w:p>
    <w:bookmarkEnd w:id="283"/>
    <w:p w14:paraId="1F41F898">
      <w:pPr>
        <w:pStyle w:val="44"/>
      </w:pPr>
      <w:r>
        <w:t>Блок «Основная информация» содержит следующий набор полей:</w:t>
      </w:r>
    </w:p>
    <w:bookmarkEnd w:id="284"/>
    <w:p w14:paraId="40EA9BC3">
      <w:pPr>
        <w:pStyle w:val="51"/>
      </w:pPr>
      <w:bookmarkStart w:id="288" w:name="_Hlk152337743"/>
      <w:r>
        <w:t>«Направительный диагноз» — заполняется согласно МКБ-10</w:t>
      </w:r>
      <w:r>
        <w:rPr>
          <w:rStyle w:val="14"/>
        </w:rPr>
        <w:footnoteReference w:id="0"/>
      </w:r>
      <w:r>
        <w:t xml:space="preserve"> выбором значения из раскрывающегося справочника 1.2.643.5.1.13.13.11.1005;</w:t>
      </w:r>
    </w:p>
    <w:p w14:paraId="036658B1">
      <w:pPr>
        <w:pStyle w:val="51"/>
      </w:pPr>
      <w:r>
        <w:t>«Диагноз приемного отделения» — обязательное поле, заполняется согласно МКБ-10 выбором значения из раскрывающегося справочника 1.2.643.5.1.13.13.11.1005.</w:t>
      </w:r>
      <w:bookmarkEnd w:id="288"/>
    </w:p>
    <w:p w14:paraId="08653168">
      <w:pPr>
        <w:pStyle w:val="44"/>
      </w:pPr>
      <w:bookmarkStart w:id="289" w:name="_Hlk152337804"/>
      <w:r>
        <w:t>Блок «Клинический заключительный диагноз» содержит следующий набор полей:</w:t>
      </w:r>
    </w:p>
    <w:p w14:paraId="2D25119D">
      <w:pPr>
        <w:pStyle w:val="51"/>
      </w:pPr>
      <w:r>
        <w:t>«Основное заболевание» — обязательное поле, заполняется согласно МКБ-10 выбором из раскрывающегося справочника 1.2.643.5.1.13.13.11.1005;</w:t>
      </w:r>
    </w:p>
    <w:p w14:paraId="02217BAC">
      <w:pPr>
        <w:pStyle w:val="51"/>
      </w:pPr>
      <w:r>
        <w:t xml:space="preserve">«Характер заболевания» — </w:t>
      </w:r>
      <w:bookmarkStart w:id="290" w:name="_Hlk149146284"/>
      <w:r>
        <w:t>заполняется выбором значения из раскрывающегося справочника</w:t>
      </w:r>
      <w:bookmarkEnd w:id="290"/>
      <w:r>
        <w:t xml:space="preserve"> 1.2.643.5.1.13.13.11.1049;</w:t>
      </w:r>
    </w:p>
    <w:p w14:paraId="59921B79">
      <w:pPr>
        <w:pStyle w:val="51"/>
      </w:pPr>
      <w:r>
        <w:t>«Вид травмы» — указать виды травм по способу получения. Заполняется выбором значения из раскрывающегося справочника 1.2.643.5.1.13.13.11.1036;</w:t>
      </w:r>
    </w:p>
    <w:p w14:paraId="5534CE52">
      <w:pPr>
        <w:pStyle w:val="51"/>
      </w:pPr>
      <w:r>
        <w:t>«Статус диспансерного наблюдения» — заполняется выбором значения из раскрывающегося справочника;</w:t>
      </w:r>
    </w:p>
    <w:p w14:paraId="65DBF6B4">
      <w:pPr>
        <w:pStyle w:val="51"/>
      </w:pPr>
      <w:r>
        <w:t>«Причина прекращения диспансерного наблюдения» — заполняется выбором значения из раскрывающегося справочника.</w:t>
      </w:r>
      <w:bookmarkEnd w:id="289"/>
    </w:p>
    <w:p w14:paraId="42944C34">
      <w:pPr>
        <w:pStyle w:val="44"/>
      </w:pPr>
      <w:bookmarkStart w:id="291" w:name="_Hlk152337846"/>
      <w:r>
        <w:t>Блок «Сопутствующие заболевания» содержит следующий набор полей:</w:t>
      </w:r>
    </w:p>
    <w:p w14:paraId="4E3C478C">
      <w:pPr>
        <w:pStyle w:val="51"/>
      </w:pPr>
      <w:r>
        <w:t>«Сопутствующее заболевание» — заполняется выбором значения из раскрывающегося справочника;</w:t>
      </w:r>
    </w:p>
    <w:p w14:paraId="7991ABD5">
      <w:pPr>
        <w:pStyle w:val="51"/>
      </w:pPr>
      <w:r>
        <w:t>«Характер заболевания» — заполняется выбором значения из раскрывающегося справочника 1.2.643.5.1.13.13.11.1049;</w:t>
      </w:r>
    </w:p>
    <w:p w14:paraId="647A12BF">
      <w:pPr>
        <w:pStyle w:val="51"/>
      </w:pPr>
      <w:r>
        <w:t>«Статус диспансерного наблюдения» — заполняется выбором значения из раскрывающегося справочника;</w:t>
      </w:r>
    </w:p>
    <w:p w14:paraId="3A2E19B4">
      <w:pPr>
        <w:pStyle w:val="51"/>
      </w:pPr>
      <w:r>
        <w:t>«Причина прекращения диспансерного наблюдения» — заполняется выбором значения из раскрывающегося справочника.</w:t>
      </w:r>
      <w:bookmarkEnd w:id="291"/>
    </w:p>
    <w:p w14:paraId="159CF2F3">
      <w:pPr>
        <w:pStyle w:val="44"/>
      </w:pPr>
      <w:bookmarkStart w:id="292" w:name="_Hlk152337872"/>
      <w:r>
        <w:t>Возможен ввод нескольких сопутствующих заболеваний по кнопке «Добавить».</w:t>
      </w:r>
    </w:p>
    <w:bookmarkEnd w:id="292"/>
    <w:p w14:paraId="4120FE9D">
      <w:pPr>
        <w:pStyle w:val="44"/>
      </w:pPr>
      <w:bookmarkStart w:id="293" w:name="_Hlk152337910"/>
      <w:r>
        <w:t>Блок «Осложнение» содержит следующий набор полей:</w:t>
      </w:r>
    </w:p>
    <w:p w14:paraId="29D49891">
      <w:pPr>
        <w:pStyle w:val="51"/>
      </w:pPr>
      <w:r>
        <w:t>«Осложнение» — заполняется выбором значения из раскрывающегося справочника;</w:t>
      </w:r>
    </w:p>
    <w:p w14:paraId="5BEDA9BF">
      <w:pPr>
        <w:pStyle w:val="51"/>
      </w:pPr>
      <w:r>
        <w:t xml:space="preserve">«Характер заболевания» — </w:t>
      </w:r>
      <w:bookmarkStart w:id="294" w:name="_Hlk149032783"/>
      <w:r>
        <w:t xml:space="preserve">заполняется выбором значения из раскрывающегося справочника </w:t>
      </w:r>
      <w:bookmarkEnd w:id="294"/>
      <w:r>
        <w:t>1.2.643.5.1.13.13.11.1049;</w:t>
      </w:r>
    </w:p>
    <w:p w14:paraId="4795F1A2">
      <w:pPr>
        <w:pStyle w:val="51"/>
      </w:pPr>
      <w:r>
        <w:t>«Статус диспансерного наблюдения» — заполняется выбором значения из раскрывающегося справочника;</w:t>
      </w:r>
    </w:p>
    <w:p w14:paraId="5E63A73F">
      <w:pPr>
        <w:pStyle w:val="51"/>
      </w:pPr>
      <w:r>
        <w:t>«Причина прекращения диспансерного наблюдения» — заполняется выбором значения из раскрывающегося справочника.</w:t>
      </w:r>
    </w:p>
    <w:p w14:paraId="3013FC19">
      <w:pPr>
        <w:pStyle w:val="44"/>
      </w:pPr>
      <w:r>
        <w:t>Возможен ввод нескольких осложнений по кнопке «Добавить».</w:t>
      </w:r>
      <w:bookmarkEnd w:id="293"/>
    </w:p>
    <w:p w14:paraId="09BB0741">
      <w:pPr>
        <w:pStyle w:val="44"/>
      </w:pPr>
      <w:bookmarkStart w:id="295" w:name="_Hlk152337940"/>
      <w:r>
        <w:t>Блок «Патологоанатомический диагноз» заполняется при летальном исходе и содержит следующий набор полей:</w:t>
      </w:r>
    </w:p>
    <w:p w14:paraId="6711F69E">
      <w:pPr>
        <w:pStyle w:val="51"/>
      </w:pPr>
      <w:r>
        <w:t>«Основное заболевание» — заполняется выбором значения из раскрывающегося справочника;</w:t>
      </w:r>
    </w:p>
    <w:p w14:paraId="372EF978">
      <w:pPr>
        <w:pStyle w:val="51"/>
      </w:pPr>
      <w:r>
        <w:t>«Сопутствующее заболевание» — заполняется выбором значения из раскрывающегося справочника;</w:t>
      </w:r>
    </w:p>
    <w:p w14:paraId="202543EB">
      <w:pPr>
        <w:pStyle w:val="51"/>
      </w:pPr>
      <w:r>
        <w:t>«Осложнение» — заполняется выбором значения из раскрывающегося справочника;</w:t>
      </w:r>
    </w:p>
    <w:p w14:paraId="50AB413F">
      <w:pPr>
        <w:pStyle w:val="51"/>
      </w:pPr>
      <w:r>
        <w:t>«Причина смерти, диагноз» — заполняется выбором значения из раскрывающегося справочника.</w:t>
      </w:r>
      <w:bookmarkEnd w:id="295"/>
    </w:p>
    <w:p w14:paraId="54F2F48A">
      <w:pPr>
        <w:pStyle w:val="40"/>
      </w:pPr>
      <w:bookmarkStart w:id="296" w:name="_Toc131174702"/>
      <w:r>
        <w:t>Движение по отделениям</w:t>
      </w:r>
      <w:bookmarkEnd w:id="296"/>
    </w:p>
    <w:p w14:paraId="079C2622">
      <w:pPr>
        <w:pStyle w:val="44"/>
      </w:pPr>
      <w:bookmarkStart w:id="297" w:name="_Hlk152667796"/>
      <w:r>
        <w:t>СЭФД СТЦ должен содержать хотя бы одно движение по отделениям.</w:t>
      </w:r>
    </w:p>
    <w:p w14:paraId="0C6F8B38">
      <w:pPr>
        <w:pStyle w:val="44"/>
      </w:pPr>
      <w:bookmarkStart w:id="298" w:name="_Hlk152863449"/>
      <w:r>
        <w:t xml:space="preserve">Регистрация сведений о движениях по отделениям осуществляется в разделе «Движение по отделениям» (рис. </w:t>
      </w:r>
      <w:r>
        <w:fldChar w:fldCharType="begin"/>
      </w:r>
      <w:r>
        <w:instrText xml:space="preserve"> REF  _Ref491421764 \h\#\0   \* MERGEFORMAT </w:instrText>
      </w:r>
      <w:r>
        <w:fldChar w:fldCharType="separate"/>
      </w:r>
      <w:r>
        <w:t>42</w:t>
      </w:r>
      <w:r>
        <w:fldChar w:fldCharType="end"/>
      </w:r>
      <w:r>
        <w:t>). Для внесения данных нажать кнопку «+ Добавить движение».</w:t>
      </w:r>
      <w:bookmarkEnd w:id="297"/>
      <w:bookmarkEnd w:id="298"/>
    </w:p>
    <w:p w14:paraId="75CAD910">
      <w:pPr>
        <w:pStyle w:val="48"/>
      </w:pPr>
      <w:bookmarkStart w:id="299" w:name="_Hlk152863469"/>
      <w:bookmarkStart w:id="300" w:name="_Hlk152667820"/>
      <w:r>
        <w:drawing>
          <wp:inline distT="0" distB="0" distL="0" distR="0">
            <wp:extent cx="6119495" cy="2044700"/>
            <wp:effectExtent l="19050" t="19050" r="14605" b="12700"/>
            <wp:docPr id="755494091" name="Рисунок 755494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494091" name="Рисунок 755494091"/>
                    <pic:cNvPicPr>
                      <a:picLocks noChangeAspect="1"/>
                    </pic:cNvPicPr>
                  </pic:nvPicPr>
                  <pic:blipFill>
                    <a:blip r:embed="rId69"/>
                    <a:srcRect b="213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4489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78F2FA5">
      <w:pPr>
        <w:pStyle w:val="49"/>
      </w:pPr>
      <w:bookmarkStart w:id="301" w:name="_Ref49142176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42</w:t>
      </w:r>
      <w:r>
        <w:fldChar w:fldCharType="end"/>
      </w:r>
      <w:bookmarkEnd w:id="301"/>
      <w:r>
        <w:t xml:space="preserve"> — Создание СТЦ, раздел «</w:t>
      </w:r>
      <w:bookmarkStart w:id="302" w:name="_Hlk143798928"/>
      <w:r>
        <w:t>Движение по отделениям</w:t>
      </w:r>
      <w:bookmarkEnd w:id="302"/>
      <w:r>
        <w:t>»</w:t>
      </w:r>
      <w:bookmarkEnd w:id="299"/>
    </w:p>
    <w:bookmarkEnd w:id="300"/>
    <w:p w14:paraId="7B23C533">
      <w:pPr>
        <w:pStyle w:val="44"/>
      </w:pPr>
      <w:bookmarkStart w:id="303" w:name="_Hlk152670729"/>
      <w:bookmarkStart w:id="304" w:name="_Hlk152863611"/>
      <w:r>
        <w:t xml:space="preserve">Откроется форма «Движение по отделениям» (рис. </w:t>
      </w:r>
      <w:r>
        <w:fldChar w:fldCharType="begin"/>
      </w:r>
      <w:r>
        <w:instrText xml:space="preserve"> REF  _Ref143267673 \h\#\0   \* MERGEFORMAT </w:instrText>
      </w:r>
      <w:r>
        <w:fldChar w:fldCharType="separate"/>
      </w:r>
      <w:r>
        <w:t>43</w:t>
      </w:r>
      <w:r>
        <w:fldChar w:fldCharType="end"/>
      </w:r>
      <w:r>
        <w:t>).</w:t>
      </w:r>
      <w:bookmarkEnd w:id="303"/>
    </w:p>
    <w:p w14:paraId="2B7DC668">
      <w:pPr>
        <w:pStyle w:val="49"/>
        <w:rPr>
          <w:lang w:eastAsia="ru-RU"/>
        </w:rPr>
      </w:pPr>
      <w:bookmarkStart w:id="305" w:name="_Hlk152867353"/>
      <w:r>
        <w:rPr>
          <w:lang w:eastAsia="ru-RU"/>
        </w:rPr>
        <w:drawing>
          <wp:inline distT="0" distB="0" distL="0" distR="0">
            <wp:extent cx="3599815" cy="6357620"/>
            <wp:effectExtent l="19050" t="19050" r="19685" b="24130"/>
            <wp:docPr id="1721671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671065" name="Рисунок 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3580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1D81784">
      <w:pPr>
        <w:pStyle w:val="49"/>
      </w:pPr>
      <w:bookmarkStart w:id="306" w:name="_Ref143267673"/>
      <w:bookmarkStart w:id="307" w:name="_Hlk15267088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43</w:t>
      </w:r>
      <w:r>
        <w:fldChar w:fldCharType="end"/>
      </w:r>
      <w:bookmarkEnd w:id="306"/>
      <w:r>
        <w:t xml:space="preserve"> — Регистрация сведений о движениях по отделениям</w:t>
      </w:r>
      <w:bookmarkEnd w:id="304"/>
    </w:p>
    <w:bookmarkEnd w:id="305"/>
    <w:p w14:paraId="2A0AEFD5">
      <w:pPr>
        <w:pStyle w:val="44"/>
      </w:pPr>
      <w:bookmarkStart w:id="308" w:name="_Hlk152338019"/>
      <w:r>
        <w:t>В поле «Идентификатор эл. эпикриза во внешней системе» указать номер электронного эпикриза из ЕГИСЗ.</w:t>
      </w:r>
    </w:p>
    <w:p w14:paraId="6AAC9075">
      <w:pPr>
        <w:pStyle w:val="44"/>
      </w:pPr>
      <w:bookmarkStart w:id="309" w:name="_Hlk152671523"/>
      <w:r>
        <w:t>Поля «Дата и время поступления» и «Дата и время выбытия» обязательные, предзаполнены по сведениям, внесенным на вкладке «Госпитализация».</w:t>
      </w:r>
    </w:p>
    <w:p w14:paraId="009F7FCC">
      <w:pPr>
        <w:pStyle w:val="44"/>
      </w:pPr>
      <w:r>
        <w:t>Поле «Вид оплаты» обязательное. По умолчанию предустановлено значение «1</w:t>
      </w:r>
      <w:r>
        <w:rPr>
          <w:lang w:val="en-US"/>
        </w:rPr>
        <w:t> </w:t>
      </w:r>
      <w:r>
        <w:t>–</w:t>
      </w:r>
      <w:r>
        <w:rPr>
          <w:lang w:val="en-US"/>
        </w:rPr>
        <w:t> </w:t>
      </w:r>
      <w:r>
        <w:t>ОМС». Поле редактируемое, заполняется выбором значения из раскрывающегося классификатора видов оплаты 1.2.643.5.1.13.2.1.1.528.</w:t>
      </w:r>
      <w:bookmarkEnd w:id="308"/>
      <w:bookmarkEnd w:id="309"/>
      <w:r>
        <w:t xml:space="preserve"> Имеется возможность указания разных видов оплаты в одном СЭФД в разрезе движений по отделениям.</w:t>
      </w:r>
    </w:p>
    <w:p w14:paraId="0261AE5F">
      <w:pPr>
        <w:pStyle w:val="44"/>
      </w:pPr>
      <w:r>
        <w:t>Поле «Занятость мед. работника» обязательное. Заполняется выбором значения из</w:t>
      </w:r>
      <w:r>
        <w:rPr>
          <w:lang w:val="en-US"/>
        </w:rPr>
        <w:t> </w:t>
      </w:r>
      <w:r>
        <w:t>справочника ФРМО.</w:t>
      </w:r>
    </w:p>
    <w:p w14:paraId="08488A71">
      <w:pPr>
        <w:pStyle w:val="44"/>
      </w:pPr>
      <w:r>
        <w:t>«Профиль койки» — обязательное поле, заполняется выбором значения из раскрывающегося справочника.</w:t>
      </w:r>
    </w:p>
    <w:p w14:paraId="2E1BF94F">
      <w:pPr>
        <w:pStyle w:val="44"/>
        <w:keepNext/>
      </w:pPr>
      <w:bookmarkStart w:id="310" w:name="_Hlk152338048"/>
      <w:r>
        <w:t>Блок «Основной диагноз» содержит следующие поля:</w:t>
      </w:r>
    </w:p>
    <w:p w14:paraId="023818A8">
      <w:pPr>
        <w:pStyle w:val="51"/>
        <w:rPr>
          <w:lang w:eastAsia="en-US"/>
        </w:rPr>
      </w:pPr>
      <w:r>
        <w:rPr>
          <w:lang w:eastAsia="en-US"/>
        </w:rPr>
        <w:t xml:space="preserve">«Основной диагноз» — обязательное поле, </w:t>
      </w:r>
      <w:r>
        <w:t>заполняется выбором значения из раскрывающегося справочника;</w:t>
      </w:r>
    </w:p>
    <w:p w14:paraId="3D16870D">
      <w:pPr>
        <w:pStyle w:val="51"/>
        <w:rPr>
          <w:lang w:eastAsia="en-US"/>
        </w:rPr>
      </w:pPr>
      <w:r>
        <w:rPr>
          <w:lang w:eastAsia="en-US"/>
        </w:rPr>
        <w:t>«Характер заболевания» — заполняется выбором значения из справочника;</w:t>
      </w:r>
    </w:p>
    <w:p w14:paraId="2447C309">
      <w:pPr>
        <w:pStyle w:val="51"/>
        <w:rPr>
          <w:lang w:eastAsia="en-US"/>
        </w:rPr>
      </w:pPr>
      <w:r>
        <w:rPr>
          <w:lang w:eastAsia="en-US"/>
        </w:rPr>
        <w:t>«Вид травмы» — заполняется выбором значения из справочника.</w:t>
      </w:r>
    </w:p>
    <w:p w14:paraId="7011FB6C">
      <w:pPr>
        <w:pStyle w:val="44"/>
      </w:pPr>
      <w:r>
        <w:t>Блок «Сопутствующие диагнозы» содержит следующие поля:</w:t>
      </w:r>
    </w:p>
    <w:p w14:paraId="7CE73F30">
      <w:pPr>
        <w:pStyle w:val="51"/>
      </w:pPr>
      <w:r>
        <w:t>«Сопутствующий диагноз» — заполняется выбором значения из раскрывающегося справочника;</w:t>
      </w:r>
    </w:p>
    <w:p w14:paraId="4E701670">
      <w:pPr>
        <w:pStyle w:val="51"/>
      </w:pPr>
      <w:r>
        <w:t>«Характер заболевания» — заполняется выбором значения из раскрывающегося справочника 1.2.643.5.1.13.13.11.1049.</w:t>
      </w:r>
    </w:p>
    <w:p w14:paraId="3D19A639">
      <w:pPr>
        <w:pStyle w:val="44"/>
      </w:pPr>
      <w:r>
        <w:t>Возможен ввод нескольких диагнозов по кнопке «+ Добавить».</w:t>
      </w:r>
    </w:p>
    <w:p w14:paraId="1C0AA2E3">
      <w:pPr>
        <w:pStyle w:val="44"/>
      </w:pPr>
      <w:r>
        <w:t>Блок «Осложнения» содержит следующие поля:</w:t>
      </w:r>
    </w:p>
    <w:p w14:paraId="5F17B18F">
      <w:pPr>
        <w:pStyle w:val="51"/>
      </w:pPr>
      <w:r>
        <w:t>«Осложнение основного диагноза» — заполняется выбором значения из раскрывающегося справочника;</w:t>
      </w:r>
    </w:p>
    <w:p w14:paraId="2B03A5A6">
      <w:pPr>
        <w:pStyle w:val="51"/>
      </w:pPr>
      <w:r>
        <w:t>«Характер заболевания» — заполняется выбором значения из раскрывающегося справочника 1.2.643.5.1.13.13.11.1049.</w:t>
      </w:r>
    </w:p>
    <w:p w14:paraId="45F69DF5">
      <w:pPr>
        <w:pStyle w:val="44"/>
      </w:pPr>
      <w:r>
        <w:t>Возможен ввод нескольких осложнений по кнопке «+ Добавить».</w:t>
      </w:r>
    </w:p>
    <w:p w14:paraId="62A1907C">
      <w:pPr>
        <w:pStyle w:val="44"/>
      </w:pPr>
      <w:r>
        <w:t>Блок «ВМП» заполняется в случае оказания помощи, входящей в перечень видов ВМП, включенных в базовую программу ОМС и содержит следующие поля:</w:t>
      </w:r>
    </w:p>
    <w:p w14:paraId="6B30DE17">
      <w:pPr>
        <w:pStyle w:val="51"/>
        <w:rPr>
          <w:lang w:eastAsia="en-US"/>
        </w:rPr>
      </w:pPr>
      <w:r>
        <w:rPr>
          <w:lang w:eastAsia="en-US"/>
        </w:rPr>
        <w:t xml:space="preserve">«Вид ВМП» — </w:t>
      </w:r>
      <w:r>
        <w:t>заполняется выбором значения из раскрывающегося справочника;</w:t>
      </w:r>
    </w:p>
    <w:bookmarkEnd w:id="307"/>
    <w:p w14:paraId="4CC4FF4E">
      <w:pPr>
        <w:pStyle w:val="51"/>
        <w:rPr>
          <w:lang w:eastAsia="en-US"/>
        </w:rPr>
      </w:pPr>
      <w:r>
        <w:rPr>
          <w:lang w:eastAsia="en-US"/>
        </w:rPr>
        <w:t xml:space="preserve">«Метод лечения» — </w:t>
      </w:r>
      <w:r>
        <w:t>заполняется выбором значения из раскрывающегося справочника;</w:t>
      </w:r>
    </w:p>
    <w:p w14:paraId="3C83435B">
      <w:pPr>
        <w:pStyle w:val="51"/>
        <w:rPr>
          <w:lang w:eastAsia="en-US"/>
        </w:rPr>
      </w:pPr>
      <w:r>
        <w:rPr>
          <w:lang w:eastAsia="en-US"/>
        </w:rPr>
        <w:t xml:space="preserve">«Вид лечения» — </w:t>
      </w:r>
      <w:r>
        <w:t>заполняется выбором значения из раскрывающегося справочника;</w:t>
      </w:r>
    </w:p>
    <w:p w14:paraId="12BBC2BE">
      <w:pPr>
        <w:pStyle w:val="51"/>
        <w:rPr>
          <w:lang w:eastAsia="en-US"/>
        </w:rPr>
      </w:pPr>
      <w:r>
        <w:rPr>
          <w:lang w:eastAsia="en-US"/>
        </w:rPr>
        <w:t xml:space="preserve">«Модель пациента» — </w:t>
      </w:r>
      <w:r>
        <w:t>заполняется выбором значения из раскрывающегося справочника;</w:t>
      </w:r>
    </w:p>
    <w:p w14:paraId="482AADD8">
      <w:pPr>
        <w:pStyle w:val="51"/>
        <w:rPr>
          <w:lang w:eastAsia="en-US"/>
        </w:rPr>
      </w:pPr>
      <w:r>
        <w:rPr>
          <w:lang w:eastAsia="en-US"/>
        </w:rPr>
        <w:t>«Код группы ВМП» — расчетное поле. Заполняется автоматически при сохранении СЭФД, рассчитывается на основании значений, указанных в полях «Вид ВМП», «Метод лечения», «Вид лечения» и «Модель пациента»;</w:t>
      </w:r>
    </w:p>
    <w:p w14:paraId="285C0180">
      <w:pPr>
        <w:pStyle w:val="51"/>
        <w:rPr>
          <w:lang w:eastAsia="en-US"/>
        </w:rPr>
      </w:pPr>
      <w:r>
        <w:rPr>
          <w:lang w:eastAsia="en-US"/>
        </w:rPr>
        <w:t xml:space="preserve">«Раздел» — </w:t>
      </w:r>
      <w:r>
        <w:t>заполняется выбором значения из раскрывающегося справочника.</w:t>
      </w:r>
    </w:p>
    <w:p w14:paraId="4DB62F82">
      <w:pPr>
        <w:pStyle w:val="51"/>
      </w:pPr>
      <w:r>
        <w:t>«Результат обращения» — обязательное поле, заполняется выбором значения из раскрывающегося справочника.</w:t>
      </w:r>
    </w:p>
    <w:bookmarkEnd w:id="310"/>
    <w:p w14:paraId="4C7EFB13">
      <w:pPr>
        <w:pStyle w:val="51"/>
      </w:pPr>
      <w:bookmarkStart w:id="311" w:name="_Hlk152338188"/>
      <w:r>
        <w:t>«Причина прерывания случая» — расчетное, заполняется автоматически. Исходными данными для определения прерванности случая и доли, подлежащей оплате, являются значения в следующих полях:</w:t>
      </w:r>
    </w:p>
    <w:p w14:paraId="3E72F825">
      <w:pPr>
        <w:pStyle w:val="51"/>
      </w:pPr>
      <w:r>
        <w:t>«Код ФФОМС/ТФОМС», к которому относится МО, в котором проводилось лечение (подраздел «Госпитализация», поле «ТПГГ и ПГГ»);</w:t>
      </w:r>
    </w:p>
    <w:p w14:paraId="5BA68107">
      <w:pPr>
        <w:pStyle w:val="51"/>
      </w:pPr>
      <w:r>
        <w:t>«Занятость мед. работника» — определяется тип группы по условиям оказания МП — КС или ДС — занятости врача (подраздел «Движение по отделению»);</w:t>
      </w:r>
    </w:p>
    <w:p w14:paraId="1DB0BE5D">
      <w:pPr>
        <w:pStyle w:val="51"/>
      </w:pPr>
      <w:r>
        <w:t>«Результат обращения» — справочник V009 (подраздел «Движение по отделению»);</w:t>
      </w:r>
    </w:p>
    <w:p w14:paraId="2083C0F1">
      <w:pPr>
        <w:pStyle w:val="51"/>
      </w:pPr>
      <w:r>
        <w:t>«Длительность лечения в рамках случая» — рассчитывается по датам движения по</w:t>
      </w:r>
      <w:r>
        <w:rPr>
          <w:lang w:val="en-US"/>
        </w:rPr>
        <w:t> </w:t>
      </w:r>
      <w:r>
        <w:t>отделению;</w:t>
      </w:r>
    </w:p>
    <w:p w14:paraId="798D9824">
      <w:pPr>
        <w:pStyle w:val="51"/>
      </w:pPr>
      <w:r>
        <w:t>«Возраст пациента» — по данным ФЕРЗЛ для указанного пациента;</w:t>
      </w:r>
    </w:p>
    <w:p w14:paraId="48129EEE">
      <w:pPr>
        <w:pStyle w:val="51"/>
      </w:pPr>
      <w:r>
        <w:t>«Лекарственные препараты» (подраздел ЛП).</w:t>
      </w:r>
    </w:p>
    <w:p w14:paraId="0D67E210">
      <w:pPr>
        <w:pStyle w:val="44"/>
      </w:pPr>
      <w:bookmarkStart w:id="312" w:name="_Hlk152671580"/>
      <w:bookmarkStart w:id="313" w:name="_Hlk152863356"/>
      <w:r>
        <w:t>Для исключения из счета регистрируемого случая указать признак «Исключить из счета».</w:t>
      </w:r>
      <w:bookmarkEnd w:id="311"/>
      <w:bookmarkEnd w:id="312"/>
    </w:p>
    <w:bookmarkEnd w:id="313"/>
    <w:p w14:paraId="65582BDE">
      <w:pPr>
        <w:pStyle w:val="44"/>
      </w:pPr>
      <w:bookmarkStart w:id="314" w:name="_Hlk152671820"/>
      <w:r>
        <w:t>Для сохранения введенных данных нажать кнопку «Сохранить».</w:t>
      </w:r>
      <w:bookmarkEnd w:id="314"/>
    </w:p>
    <w:p w14:paraId="0297DC5D">
      <w:pPr>
        <w:pStyle w:val="44"/>
        <w:keepNext/>
      </w:pPr>
      <w:bookmarkStart w:id="315" w:name="_Hlk152338327"/>
      <w:r>
        <w:t xml:space="preserve">На вкладке «КСГ» (рис. </w:t>
      </w:r>
      <w:r>
        <w:fldChar w:fldCharType="begin"/>
      </w:r>
      <w:r>
        <w:instrText xml:space="preserve"> REF  _Ref149034316 \h\#\0   \* MERGEFORMAT </w:instrText>
      </w:r>
      <w:r>
        <w:fldChar w:fldCharType="separate"/>
      </w:r>
      <w:r>
        <w:t>44</w:t>
      </w:r>
      <w:r>
        <w:fldChar w:fldCharType="end"/>
      </w:r>
      <w:r>
        <w:t>) к заполнению доступны следующие поля:</w:t>
      </w:r>
    </w:p>
    <w:p w14:paraId="17C266A2">
      <w:pPr>
        <w:pStyle w:val="51"/>
        <w:rPr>
          <w:lang w:eastAsia="en-US"/>
        </w:rPr>
      </w:pPr>
      <w:r>
        <w:rPr>
          <w:lang w:eastAsia="en-US"/>
        </w:rPr>
        <w:t>«Модель определения КСГ» — заполняется автоматически;</w:t>
      </w:r>
    </w:p>
    <w:p w14:paraId="16ED80CD">
      <w:pPr>
        <w:pStyle w:val="51"/>
        <w:rPr>
          <w:lang w:eastAsia="en-US"/>
        </w:rPr>
      </w:pPr>
      <w:r>
        <w:rPr>
          <w:lang w:eastAsia="en-US"/>
        </w:rPr>
        <w:t xml:space="preserve">«Коэффициент сложности лечения пациента» — </w:t>
      </w:r>
      <w:r>
        <w:t>заполняется выбором значения из</w:t>
      </w:r>
      <w:r>
        <w:rPr>
          <w:lang w:val="en-US"/>
        </w:rPr>
        <w:t> </w:t>
      </w:r>
      <w:r>
        <w:t>раскрывающегося справочника;</w:t>
      </w:r>
    </w:p>
    <w:p w14:paraId="307307FA">
      <w:pPr>
        <w:pStyle w:val="51"/>
        <w:rPr>
          <w:lang w:eastAsia="en-US"/>
        </w:rPr>
      </w:pPr>
      <w:r>
        <w:rPr>
          <w:lang w:eastAsia="en-US"/>
        </w:rPr>
        <w:t xml:space="preserve">«Дополнительно классифицирующий критерий» — </w:t>
      </w:r>
      <w:r>
        <w:t>заполняется выбором значения из</w:t>
      </w:r>
      <w:r>
        <w:rPr>
          <w:lang w:val="en-US"/>
        </w:rPr>
        <w:t> </w:t>
      </w:r>
      <w:r>
        <w:t>раскрывающегося справочника</w:t>
      </w:r>
      <w:r>
        <w:rPr>
          <w:lang w:eastAsia="en-US"/>
        </w:rPr>
        <w:t>.</w:t>
      </w:r>
    </w:p>
    <w:p w14:paraId="1FE06113">
      <w:pPr>
        <w:pStyle w:val="44"/>
      </w:pPr>
      <w:r>
        <w:t>Остальные поля являются расчетными и вычисляются автоматически после сохранения документа.</w:t>
      </w:r>
    </w:p>
    <w:p w14:paraId="019C4722">
      <w:pPr>
        <w:pStyle w:val="48"/>
      </w:pPr>
      <w:r>
        <w:drawing>
          <wp:inline distT="0" distB="0" distL="0" distR="0">
            <wp:extent cx="3599815" cy="1763395"/>
            <wp:effectExtent l="19050" t="19050" r="19685" b="27305"/>
            <wp:docPr id="17337511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751179" name="Рисунок 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76395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748756">
      <w:pPr>
        <w:pStyle w:val="49"/>
      </w:pPr>
      <w:bookmarkStart w:id="316" w:name="_Ref1490343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44</w:t>
      </w:r>
      <w:r>
        <w:fldChar w:fldCharType="end"/>
      </w:r>
      <w:bookmarkEnd w:id="316"/>
      <w:r>
        <w:t xml:space="preserve"> — СТЦ. Движение по отделениям. Вкладка «КСГ»</w:t>
      </w:r>
    </w:p>
    <w:p w14:paraId="6778DE42">
      <w:pPr>
        <w:pStyle w:val="44"/>
      </w:pPr>
      <w:r>
        <w:t>Для сохранения введенных данных нажать кнопку «Сохранить».</w:t>
      </w:r>
    </w:p>
    <w:p w14:paraId="22F37906">
      <w:pPr>
        <w:pStyle w:val="44"/>
      </w:pPr>
      <w:bookmarkStart w:id="317" w:name="_Hlk152671822"/>
      <w:r>
        <w:t>После сохранения данных в верхней части в списке движений отобразится запись, содержащая внесенные сведения о движении по отделению.</w:t>
      </w:r>
      <w:bookmarkEnd w:id="315"/>
    </w:p>
    <w:p w14:paraId="504F0443">
      <w:pPr>
        <w:pStyle w:val="44"/>
      </w:pPr>
      <w:r>
        <w:t>Для редактирования сведений о движении по отделению дважды нажать на поле, внести необходимые изменения и нажать кнопку «Сохранить».</w:t>
      </w:r>
    </w:p>
    <w:p w14:paraId="758D9CDB">
      <w:pPr>
        <w:pStyle w:val="44"/>
      </w:pPr>
      <w:r>
        <w:t>Для удаления записи движения по отделению выбрать движение по отделению, нажав на строку, содержащую сведения о нем, установив флаг в поле выбора элементов списка, и</w:t>
      </w:r>
      <w:r>
        <w:rPr>
          <w:lang w:val="en-US"/>
        </w:rPr>
        <w:t> </w:t>
      </w:r>
      <w:r>
        <w:t xml:space="preserve">нажать кнопку «Удалить» (рис. </w:t>
      </w:r>
      <w:r>
        <w:fldChar w:fldCharType="begin"/>
      </w:r>
      <w:r>
        <w:instrText xml:space="preserve"> REF  _Ref171067856 \h\#\0   \* MERGEFORMAT </w:instrText>
      </w:r>
      <w:r>
        <w:fldChar w:fldCharType="separate"/>
      </w:r>
      <w:r>
        <w:t>45</w:t>
      </w:r>
      <w:r>
        <w:fldChar w:fldCharType="end"/>
      </w:r>
      <w:r>
        <w:t>).</w:t>
      </w:r>
    </w:p>
    <w:p w14:paraId="4EB13C5E">
      <w:pPr>
        <w:pStyle w:val="48"/>
      </w:pPr>
      <w:r>
        <w:drawing>
          <wp:inline distT="0" distB="0" distL="0" distR="0">
            <wp:extent cx="6114415" cy="1030605"/>
            <wp:effectExtent l="19050" t="19050" r="19685" b="17145"/>
            <wp:docPr id="140259600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596007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0306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84C372">
      <w:pPr>
        <w:pStyle w:val="49"/>
      </w:pPr>
      <w:bookmarkStart w:id="318" w:name="_Ref1710678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45</w:t>
      </w:r>
      <w:r>
        <w:fldChar w:fldCharType="end"/>
      </w:r>
      <w:bookmarkEnd w:id="318"/>
      <w:r>
        <w:t xml:space="preserve"> — СТЦ. Движение по отделениям. Удаление записи</w:t>
      </w:r>
    </w:p>
    <w:p w14:paraId="6819AFE2">
      <w:pPr>
        <w:pStyle w:val="44"/>
      </w:pPr>
      <w:bookmarkStart w:id="319" w:name="_Hlk152339043"/>
      <w:r>
        <w:t xml:space="preserve">Чтобы заполнить блок по проведенному лечению в отделении, необходимо в списке движений по отделению выбрать запись о движении. Выбранное движение подсвечивается голубым цветом и активируется кнопка «+ Добавить» в блоке сведений о проведенном лечении (рис. </w:t>
      </w:r>
      <w:r>
        <w:fldChar w:fldCharType="begin"/>
      </w:r>
      <w:r>
        <w:instrText xml:space="preserve"> REF  _Ref143800204 \h\#\0   \* MERGEFORMAT </w:instrText>
      </w:r>
      <w:r>
        <w:fldChar w:fldCharType="separate"/>
      </w:r>
      <w:r>
        <w:t>46</w:t>
      </w:r>
      <w:r>
        <w:fldChar w:fldCharType="end"/>
      </w:r>
      <w:r>
        <w:t>).</w:t>
      </w:r>
    </w:p>
    <w:p w14:paraId="5CAE7966">
      <w:pPr>
        <w:pStyle w:val="48"/>
      </w:pPr>
      <w:r>
        <w:drawing>
          <wp:inline distT="0" distB="0" distL="114300" distR="114300">
            <wp:extent cx="6118860" cy="3315335"/>
            <wp:effectExtent l="19050" t="19050" r="15240" b="18415"/>
            <wp:docPr id="10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33153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A488DD">
      <w:pPr>
        <w:pStyle w:val="49"/>
      </w:pPr>
      <w:bookmarkStart w:id="320" w:name="_Ref143800204"/>
      <w:bookmarkStart w:id="321" w:name="_Hlk1523383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46</w:t>
      </w:r>
      <w:r>
        <w:fldChar w:fldCharType="end"/>
      </w:r>
      <w:bookmarkEnd w:id="320"/>
      <w:r>
        <w:t xml:space="preserve"> — </w:t>
      </w:r>
      <w:bookmarkStart w:id="322" w:name="_Hlk149149926"/>
      <w:r>
        <w:t xml:space="preserve">СТЦ. Движение по отделениям. </w:t>
      </w:r>
      <w:bookmarkEnd w:id="322"/>
      <w:r>
        <w:t>Заполнение блока о лечении в отделении</w:t>
      </w:r>
    </w:p>
    <w:bookmarkEnd w:id="321"/>
    <w:p w14:paraId="3C7D6D42">
      <w:pPr>
        <w:pStyle w:val="44"/>
      </w:pPr>
      <w:r>
        <w:t>Блок сведений о проведенном лечении содержит следующие вкладки для перехода в</w:t>
      </w:r>
      <w:r>
        <w:rPr>
          <w:lang w:val="en-US"/>
        </w:rPr>
        <w:t> </w:t>
      </w:r>
      <w:r>
        <w:t>подразделы:</w:t>
      </w:r>
      <w:bookmarkEnd w:id="319"/>
    </w:p>
    <w:p w14:paraId="32D555FE">
      <w:pPr>
        <w:pStyle w:val="51"/>
        <w:rPr>
          <w:lang w:eastAsia="en-US"/>
        </w:rPr>
      </w:pPr>
      <w:r>
        <w:rPr>
          <w:lang w:eastAsia="en-US"/>
        </w:rPr>
        <w:t xml:space="preserve">«КСГ» — </w:t>
      </w:r>
      <w:r>
        <w:t>клинико-статистическая группа</w:t>
      </w:r>
      <w:r>
        <w:rPr>
          <w:lang w:eastAsia="en-US"/>
        </w:rPr>
        <w:t>;</w:t>
      </w:r>
    </w:p>
    <w:p w14:paraId="3D50C305">
      <w:pPr>
        <w:pStyle w:val="51"/>
        <w:rPr>
          <w:lang w:eastAsia="en-US"/>
        </w:rPr>
      </w:pPr>
      <w:r>
        <w:rPr>
          <w:lang w:eastAsia="en-US"/>
        </w:rPr>
        <w:t>«Операции» — сведения о проведенных операциях;</w:t>
      </w:r>
      <w:bookmarkEnd w:id="317"/>
    </w:p>
    <w:p w14:paraId="5E56772C">
      <w:pPr>
        <w:pStyle w:val="51"/>
        <w:rPr>
          <w:lang w:eastAsia="en-US"/>
        </w:rPr>
      </w:pPr>
      <w:bookmarkStart w:id="323" w:name="_Hlk152339081"/>
      <w:r>
        <w:rPr>
          <w:lang w:eastAsia="en-US"/>
        </w:rPr>
        <w:t xml:space="preserve">«ЛП» — сведения о </w:t>
      </w:r>
      <w:r>
        <w:t>лекарственных препаратах</w:t>
      </w:r>
      <w:r>
        <w:rPr>
          <w:lang w:eastAsia="en-US"/>
        </w:rPr>
        <w:t>;</w:t>
      </w:r>
    </w:p>
    <w:bookmarkEnd w:id="323"/>
    <w:p w14:paraId="3626C374">
      <w:pPr>
        <w:pStyle w:val="51"/>
        <w:rPr>
          <w:lang w:eastAsia="en-US"/>
        </w:rPr>
      </w:pPr>
      <w:r>
        <w:rPr>
          <w:lang w:eastAsia="en-US"/>
        </w:rPr>
        <w:t>«Реабилитация»</w:t>
      </w:r>
      <w:r>
        <w:t xml:space="preserve">— </w:t>
      </w:r>
      <w:r>
        <w:rPr>
          <w:lang w:eastAsia="en-US"/>
        </w:rPr>
        <w:t>вносятся данные шкалы Ренкин и индекса Ривермид;</w:t>
      </w:r>
    </w:p>
    <w:p w14:paraId="08250546">
      <w:pPr>
        <w:pStyle w:val="51"/>
      </w:pPr>
      <w:r>
        <w:t>«ЗНО: противопоказания» — сведения об имеющихся противопоказаниях и отказах;</w:t>
      </w:r>
    </w:p>
    <w:p w14:paraId="0F47F086">
      <w:pPr>
        <w:pStyle w:val="51"/>
      </w:pPr>
      <w:r>
        <w:t>«ЗНО: исследования» — сведения о проведенных исследованиях и их результатах;</w:t>
      </w:r>
    </w:p>
    <w:p w14:paraId="55E310F5">
      <w:pPr>
        <w:pStyle w:val="51"/>
      </w:pPr>
      <w:r>
        <w:t>«ЗНО: услуги» — услуги при лечении ЗНО;</w:t>
      </w:r>
    </w:p>
    <w:p w14:paraId="030E5D66">
      <w:pPr>
        <w:pStyle w:val="51"/>
      </w:pPr>
      <w:r>
        <w:t xml:space="preserve">«Шкала </w:t>
      </w:r>
      <w:r>
        <w:rPr>
          <w:lang w:val="en-US"/>
        </w:rPr>
        <w:t>SOFA</w:t>
      </w:r>
      <w:r>
        <w:t xml:space="preserve"> — оценка состояния пациента по шкале SOFA;</w:t>
      </w:r>
    </w:p>
    <w:p w14:paraId="5921D617">
      <w:pPr>
        <w:pStyle w:val="51"/>
      </w:pPr>
      <w:r>
        <w:t xml:space="preserve">«Шкала </w:t>
      </w:r>
      <w:r>
        <w:rPr>
          <w:lang w:val="en-US"/>
        </w:rPr>
        <w:t>PASI</w:t>
      </w:r>
      <w:r>
        <w:t>» — индекс распространенности и тяжести псориаза;</w:t>
      </w:r>
    </w:p>
    <w:p w14:paraId="021F0781">
      <w:pPr>
        <w:pStyle w:val="51"/>
      </w:pPr>
      <w:r>
        <w:t>«Шкала ШРМ» — шкала реабилитационной маршрутизации;</w:t>
      </w:r>
    </w:p>
    <w:p w14:paraId="6143F67C">
      <w:pPr>
        <w:pStyle w:val="51"/>
      </w:pPr>
      <w:r>
        <w:t>«Услуги» — сведения об оказанных услугах.</w:t>
      </w:r>
    </w:p>
    <w:p w14:paraId="01940C5F">
      <w:pPr>
        <w:pStyle w:val="51"/>
      </w:pPr>
      <w:r>
        <w:t>«МИ» — сведения об установленных медицинских изделиях.</w:t>
      </w:r>
    </w:p>
    <w:p w14:paraId="27AB4ACA">
      <w:pPr>
        <w:pStyle w:val="44"/>
      </w:pPr>
      <w:bookmarkStart w:id="324" w:name="_Hlk152672846"/>
      <w:bookmarkStart w:id="325" w:name="_Hlk152339131"/>
      <w:r>
        <w:t>Для регистрации сведений выбрать вкладку и нажать кнопку «+ Добавить».</w:t>
      </w:r>
      <w:bookmarkEnd w:id="324"/>
    </w:p>
    <w:p w14:paraId="62D7B9B4">
      <w:pPr>
        <w:pStyle w:val="44"/>
      </w:pPr>
      <w:r>
        <w:t>В случае внесения сведений в указанные подразделы обязательными для заполнения являются все поля соответствующего подраздела.</w:t>
      </w:r>
    </w:p>
    <w:p w14:paraId="7160FCA6">
      <w:pPr>
        <w:pStyle w:val="44"/>
      </w:pPr>
      <w:bookmarkStart w:id="326" w:name="_Hlk152672862"/>
      <w:bookmarkStart w:id="327" w:name="_Hlk143267791"/>
      <w:r>
        <w:t xml:space="preserve">Формы для внесения данных представлены на рисунках </w:t>
      </w:r>
      <w:r>
        <w:fldChar w:fldCharType="begin"/>
      </w:r>
      <w:r>
        <w:instrText xml:space="preserve"> REF  _Ref147410491 \h\#\0   \* MERGEFORMAT </w:instrText>
      </w:r>
      <w:r>
        <w:fldChar w:fldCharType="separate"/>
      </w:r>
      <w:r>
        <w:t>47</w:t>
      </w:r>
      <w:r>
        <w:fldChar w:fldCharType="end"/>
      </w:r>
      <w:r>
        <w:t>–</w:t>
      </w:r>
      <w:r>
        <w:fldChar w:fldCharType="begin"/>
      </w:r>
      <w:r>
        <w:instrText xml:space="preserve"> REF  _Ref147410937 \h\#\0   \* MERGEFORMAT </w:instrText>
      </w:r>
      <w:r>
        <w:fldChar w:fldCharType="separate"/>
      </w:r>
      <w:r>
        <w:t>54</w:t>
      </w:r>
      <w:r>
        <w:fldChar w:fldCharType="end"/>
      </w:r>
      <w:r>
        <w:t>.</w:t>
      </w:r>
      <w:bookmarkEnd w:id="325"/>
      <w:bookmarkEnd w:id="326"/>
    </w:p>
    <w:p w14:paraId="055A4A24">
      <w:pPr>
        <w:pStyle w:val="48"/>
      </w:pPr>
      <w:bookmarkStart w:id="328" w:name="_Hlk152672872"/>
      <w:bookmarkStart w:id="329" w:name="_Hlk152339148"/>
      <w:r>
        <w:drawing>
          <wp:inline distT="0" distB="0" distL="0" distR="0">
            <wp:extent cx="4319905" cy="3557270"/>
            <wp:effectExtent l="19050" t="19050" r="23495" b="24130"/>
            <wp:docPr id="362543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543147" name="Рисунок 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5764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A5E988F">
      <w:pPr>
        <w:pStyle w:val="49"/>
      </w:pPr>
      <w:bookmarkStart w:id="330" w:name="_Ref1474104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47</w:t>
      </w:r>
      <w:r>
        <w:fldChar w:fldCharType="end"/>
      </w:r>
      <w:bookmarkEnd w:id="330"/>
      <w:r>
        <w:t xml:space="preserve"> — СТЦ. Движение по отделениям. Операции</w:t>
      </w:r>
      <w:bookmarkEnd w:id="328"/>
    </w:p>
    <w:bookmarkEnd w:id="329"/>
    <w:p w14:paraId="2AE0BBD2">
      <w:pPr>
        <w:pStyle w:val="48"/>
      </w:pPr>
      <w:bookmarkStart w:id="331" w:name="_Hlk152339182"/>
      <w:bookmarkStart w:id="332" w:name="_Hlk152672974"/>
      <w:r>
        <w:drawing>
          <wp:inline distT="0" distB="0" distL="114300" distR="114300">
            <wp:extent cx="6116955" cy="3367405"/>
            <wp:effectExtent l="19050" t="19050" r="17145" b="23495"/>
            <wp:docPr id="16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3674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EFCA1B0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48</w:t>
      </w:r>
      <w:r>
        <w:fldChar w:fldCharType="end"/>
      </w:r>
      <w:r>
        <w:t xml:space="preserve"> — СТЦ. Движение по отделениям. Лекарственн</w:t>
      </w:r>
      <w:bookmarkEnd w:id="331"/>
      <w:r>
        <w:t>ые препараты</w:t>
      </w:r>
    </w:p>
    <w:bookmarkEnd w:id="332"/>
    <w:p w14:paraId="6A7148D4">
      <w:pPr>
        <w:pStyle w:val="48"/>
      </w:pPr>
      <w:bookmarkStart w:id="333" w:name="_Hlk152673051"/>
      <w:bookmarkStart w:id="334" w:name="_Hlk152339203"/>
      <w:r>
        <w:drawing>
          <wp:inline distT="0" distB="0" distL="0" distR="0">
            <wp:extent cx="4139565" cy="2706370"/>
            <wp:effectExtent l="19050" t="19050" r="13335" b="17780"/>
            <wp:docPr id="429054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54429" name="Рисунок 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70692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380E95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49</w:t>
      </w:r>
      <w:r>
        <w:fldChar w:fldCharType="end"/>
      </w:r>
      <w:r>
        <w:t xml:space="preserve"> — СТЦ. Движение по отделениям. ЗНО: услуги</w:t>
      </w:r>
    </w:p>
    <w:p w14:paraId="5AA6E96D">
      <w:pPr>
        <w:pStyle w:val="48"/>
      </w:pPr>
      <w:r>
        <w:drawing>
          <wp:inline distT="0" distB="0" distL="0" distR="0">
            <wp:extent cx="4139565" cy="2496820"/>
            <wp:effectExtent l="19050" t="19050" r="13335" b="17780"/>
            <wp:docPr id="12242002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200220" name="Рисунок 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49714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5482F89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50</w:t>
      </w:r>
      <w:r>
        <w:fldChar w:fldCharType="end"/>
      </w:r>
      <w:r>
        <w:t xml:space="preserve"> — СТЦ. Движение по отделениям. ЗНО: исследования</w:t>
      </w:r>
    </w:p>
    <w:p w14:paraId="05E5E6D4">
      <w:pPr>
        <w:pStyle w:val="48"/>
      </w:pPr>
      <w:r>
        <w:drawing>
          <wp:inline distT="0" distB="0" distL="114300" distR="114300">
            <wp:extent cx="5236845" cy="1720850"/>
            <wp:effectExtent l="19050" t="19050" r="20955" b="12700"/>
            <wp:docPr id="5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17208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6833E1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51</w:t>
      </w:r>
      <w:r>
        <w:fldChar w:fldCharType="end"/>
      </w:r>
      <w:r>
        <w:t xml:space="preserve"> — СТЦ. Движение по отделениям. ЗНО: противопоказания</w:t>
      </w:r>
    </w:p>
    <w:p w14:paraId="712C16EE">
      <w:pPr>
        <w:pStyle w:val="48"/>
      </w:pPr>
      <w:r>
        <w:drawing>
          <wp:inline distT="0" distB="0" distL="114300" distR="114300">
            <wp:extent cx="4942205" cy="6845935"/>
            <wp:effectExtent l="19050" t="19050" r="10795" b="12065"/>
            <wp:docPr id="6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42205" cy="68459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3759B8A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52</w:t>
      </w:r>
      <w:r>
        <w:fldChar w:fldCharType="end"/>
      </w:r>
      <w:r>
        <w:t xml:space="preserve"> — СТЦ. Движение по отделениям. Реабилитация</w:t>
      </w:r>
    </w:p>
    <w:bookmarkEnd w:id="333"/>
    <w:p w14:paraId="5B8C1A60">
      <w:pPr>
        <w:pStyle w:val="48"/>
      </w:pPr>
      <w:bookmarkStart w:id="335" w:name="_Hlk152673182"/>
      <w:r>
        <w:drawing>
          <wp:inline distT="0" distB="0" distL="0" distR="0">
            <wp:extent cx="4139565" cy="2520315"/>
            <wp:effectExtent l="19050" t="19050" r="13335" b="13335"/>
            <wp:docPr id="9346258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625826" name="Рисунок 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252043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082483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53</w:t>
      </w:r>
      <w:r>
        <w:fldChar w:fldCharType="end"/>
      </w:r>
      <w:r>
        <w:t xml:space="preserve"> — СТЦ. Движение по отделениям. Услуги</w:t>
      </w:r>
    </w:p>
    <w:bookmarkEnd w:id="335"/>
    <w:p w14:paraId="70414D2F">
      <w:pPr>
        <w:pStyle w:val="48"/>
      </w:pPr>
      <w:r>
        <w:drawing>
          <wp:inline distT="0" distB="0" distL="0" distR="0">
            <wp:extent cx="4319905" cy="2205355"/>
            <wp:effectExtent l="19050" t="19050" r="23495" b="23495"/>
            <wp:docPr id="1678341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341627" name="Рисунок 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053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7158A42">
      <w:pPr>
        <w:pStyle w:val="49"/>
      </w:pPr>
      <w:bookmarkStart w:id="336" w:name="_Ref1474109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54</w:t>
      </w:r>
      <w:r>
        <w:fldChar w:fldCharType="end"/>
      </w:r>
      <w:bookmarkEnd w:id="336"/>
      <w:r>
        <w:t xml:space="preserve"> — СТЦ. Движение по отделениям. Медицинские изделия</w:t>
      </w:r>
      <w:bookmarkEnd w:id="334"/>
    </w:p>
    <w:p w14:paraId="4065EF67">
      <w:pPr>
        <w:pStyle w:val="44"/>
      </w:pPr>
      <w:bookmarkStart w:id="337" w:name="_Hlk152339251"/>
      <w:bookmarkStart w:id="338" w:name="_Hlk152673305"/>
      <w:r>
        <w:t xml:space="preserve">После сохранения формы в блоке о проведенном лечении отображается запись с зарегистрированными сведениями. Пример отображения записи, содержащей сведения о проведенных операциях приведен на рисунке </w:t>
      </w:r>
      <w:r>
        <w:fldChar w:fldCharType="begin"/>
      </w:r>
      <w:r>
        <w:instrText xml:space="preserve"> REF  _Ref149207328 \h\#\0   \* MERGEFORMAT </w:instrText>
      </w:r>
      <w:r>
        <w:fldChar w:fldCharType="separate"/>
      </w:r>
      <w:r>
        <w:t>55</w:t>
      </w:r>
      <w:r>
        <w:fldChar w:fldCharType="end"/>
      </w:r>
      <w:r>
        <w:t>.</w:t>
      </w:r>
      <w:bookmarkEnd w:id="337"/>
    </w:p>
    <w:p w14:paraId="23A77B3A">
      <w:pPr>
        <w:pStyle w:val="48"/>
      </w:pPr>
      <w:r>
        <w:drawing>
          <wp:inline distT="0" distB="0" distL="114300" distR="114300">
            <wp:extent cx="6118225" cy="3296920"/>
            <wp:effectExtent l="19050" t="19050" r="15875" b="17780"/>
            <wp:docPr id="11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8"/>
                    <pic:cNvPicPr>
                      <a:picLocks noChangeAspect="1"/>
                    </pic:cNvPicPr>
                  </pic:nvPicPr>
                  <pic:blipFill>
                    <a:blip r:embed="rId82"/>
                    <a:srcRect t="2684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329740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339E3B">
      <w:pPr>
        <w:pStyle w:val="49"/>
      </w:pPr>
      <w:bookmarkStart w:id="339" w:name="_Ref149207328"/>
      <w:bookmarkStart w:id="340" w:name="_Ref149207318"/>
      <w:bookmarkStart w:id="341" w:name="_Hlk1523395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55</w:t>
      </w:r>
      <w:r>
        <w:fldChar w:fldCharType="end"/>
      </w:r>
      <w:bookmarkEnd w:id="339"/>
      <w:r>
        <w:t xml:space="preserve"> —</w:t>
      </w:r>
      <w:bookmarkEnd w:id="340"/>
      <w:r>
        <w:t xml:space="preserve"> СТЦ. Движение по отделениям. Операции</w:t>
      </w:r>
      <w:bookmarkEnd w:id="338"/>
    </w:p>
    <w:bookmarkEnd w:id="327"/>
    <w:bookmarkEnd w:id="341"/>
    <w:p w14:paraId="224A0CDC">
      <w:pPr>
        <w:pStyle w:val="40"/>
      </w:pPr>
      <w:bookmarkStart w:id="342" w:name="_Toc131174704"/>
      <w:r>
        <w:t>Симультанные и сопутствующие услуги</w:t>
      </w:r>
      <w:bookmarkEnd w:id="342"/>
    </w:p>
    <w:p w14:paraId="0DDC1C15">
      <w:pPr>
        <w:pStyle w:val="44"/>
      </w:pPr>
      <w:r>
        <w:t>В рамках периода госпитализации пациенту могут быть оказаны сопутствующие услуги (в том числе и симультанные вмешательства).</w:t>
      </w:r>
    </w:p>
    <w:p w14:paraId="17EF4AEE">
      <w:pPr>
        <w:pStyle w:val="44"/>
      </w:pPr>
      <w:bookmarkStart w:id="343" w:name="_Hlk152343620"/>
      <w:r>
        <w:t xml:space="preserve">Регистрация сведений о симультанных услугах осуществляется в подразделе «Симультанные услуги» (рис. </w:t>
      </w:r>
      <w:r>
        <w:fldChar w:fldCharType="begin"/>
      </w:r>
      <w:r>
        <w:instrText xml:space="preserve"> REF  _Ref164861983 \h\#\0   \* MERGEFORMAT </w:instrText>
      </w:r>
      <w:r>
        <w:fldChar w:fldCharType="separate"/>
      </w:r>
      <w:r>
        <w:t>56</w:t>
      </w:r>
      <w:r>
        <w:fldChar w:fldCharType="end"/>
      </w:r>
      <w:r>
        <w:t>).</w:t>
      </w:r>
      <w:bookmarkEnd w:id="343"/>
      <w:r>
        <w:rPr>
          <w:lang w:val="en-US"/>
        </w:rPr>
        <w:t xml:space="preserve"> </w:t>
      </w:r>
      <w:bookmarkStart w:id="344" w:name="_Hlk152343629"/>
      <w:r>
        <w:t>Для внесения данных нажать кнопку «+ Добавить услугу».</w:t>
      </w:r>
    </w:p>
    <w:p w14:paraId="6F38E866">
      <w:pPr>
        <w:pStyle w:val="48"/>
      </w:pPr>
      <w:r>
        <w:drawing>
          <wp:inline distT="0" distB="0" distL="0" distR="0">
            <wp:extent cx="6114415" cy="2242185"/>
            <wp:effectExtent l="19050" t="19050" r="19685" b="24765"/>
            <wp:docPr id="65087495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874955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24218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990CE1">
      <w:pPr>
        <w:pStyle w:val="49"/>
      </w:pPr>
      <w:bookmarkStart w:id="345" w:name="_Ref16486198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56</w:t>
      </w:r>
      <w:r>
        <w:fldChar w:fldCharType="end"/>
      </w:r>
      <w:bookmarkEnd w:id="345"/>
      <w:r>
        <w:t xml:space="preserve"> — Создание СТЦ. Симультанные услуги</w:t>
      </w:r>
    </w:p>
    <w:p w14:paraId="1010D3C9">
      <w:pPr>
        <w:pStyle w:val="44"/>
      </w:pPr>
      <w:r>
        <w:t xml:space="preserve">Откроется форма регистрации сведений о сопутствующих услугах (рис. </w:t>
      </w:r>
      <w:r>
        <w:fldChar w:fldCharType="begin"/>
      </w:r>
      <w:r>
        <w:instrText xml:space="preserve"> REF  _Ref149053319 \h\#\0   \* MERGEFORMAT </w:instrText>
      </w:r>
      <w:r>
        <w:fldChar w:fldCharType="separate"/>
      </w:r>
      <w:r>
        <w:t>57</w:t>
      </w:r>
      <w:r>
        <w:fldChar w:fldCharType="end"/>
      </w:r>
      <w:r>
        <w:t>).</w:t>
      </w:r>
    </w:p>
    <w:p w14:paraId="257E2D8E">
      <w:pPr>
        <w:pStyle w:val="48"/>
      </w:pPr>
      <w:r>
        <w:drawing>
          <wp:inline distT="0" distB="0" distL="0" distR="0">
            <wp:extent cx="4319905" cy="2731770"/>
            <wp:effectExtent l="19050" t="19050" r="23495" b="11430"/>
            <wp:docPr id="9316043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04379" name="Рисунок 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7318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D1894D0">
      <w:pPr>
        <w:pStyle w:val="49"/>
      </w:pPr>
      <w:bookmarkStart w:id="346" w:name="_Ref1490533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57</w:t>
      </w:r>
      <w:r>
        <w:fldChar w:fldCharType="end"/>
      </w:r>
      <w:bookmarkEnd w:id="346"/>
      <w:r>
        <w:t xml:space="preserve"> — </w:t>
      </w:r>
      <w:bookmarkStart w:id="347" w:name="_Hlk164861927"/>
      <w:r>
        <w:t>Создание СТЦ. Симультанная услуга</w:t>
      </w:r>
      <w:bookmarkEnd w:id="344"/>
      <w:bookmarkEnd w:id="347"/>
    </w:p>
    <w:p w14:paraId="4311D8B0">
      <w:pPr>
        <w:pStyle w:val="44"/>
      </w:pPr>
      <w:bookmarkStart w:id="348" w:name="_Hlk152343698"/>
      <w:r>
        <w:t>Форма содержит следующий набор полей:</w:t>
      </w:r>
    </w:p>
    <w:p w14:paraId="1EB2ABB6">
      <w:pPr>
        <w:pStyle w:val="51"/>
      </w:pPr>
      <w:r>
        <w:t xml:space="preserve">«Код и наименование услуги» — </w:t>
      </w:r>
      <w:bookmarkStart w:id="349" w:name="_Hlk149054745"/>
      <w:r>
        <w:t>обязательное поле, заполняется выбором значения из раскрывающегося справочника</w:t>
      </w:r>
      <w:bookmarkEnd w:id="349"/>
      <w:r>
        <w:t>;</w:t>
      </w:r>
    </w:p>
    <w:p w14:paraId="47721B71">
      <w:pPr>
        <w:pStyle w:val="51"/>
      </w:pPr>
      <w:r>
        <w:t>«Идентификатор протокола услуги» — заполняется вручную вводом значения идентификатора СЭМД «Протокол услуги» с клавиатуры;</w:t>
      </w:r>
    </w:p>
    <w:p w14:paraId="7F938BF9">
      <w:pPr>
        <w:pStyle w:val="51"/>
      </w:pPr>
      <w:r>
        <w:t>«Врач Специальность Отделение» — обязательное поле, заполняется выбором значения из раскрывающегося справочника;</w:t>
      </w:r>
    </w:p>
    <w:p w14:paraId="5A6DCC10">
      <w:pPr>
        <w:pStyle w:val="51"/>
      </w:pPr>
      <w:r>
        <w:t>«Диагноз» — обязательное поле, заполняется выбором значения из раскрывающегося справочника;</w:t>
      </w:r>
    </w:p>
    <w:p w14:paraId="413A5E59">
      <w:pPr>
        <w:pStyle w:val="51"/>
      </w:pPr>
      <w:r>
        <w:t>«Кол-во» — обязательное поле, заполняется вручную;</w:t>
      </w:r>
    </w:p>
    <w:p w14:paraId="774262AE">
      <w:pPr>
        <w:pStyle w:val="51"/>
      </w:pPr>
      <w:r>
        <w:t>«Вид оплаты» — обязательное поле, заполняется выбором значения из раскрывающегося справочника;</w:t>
      </w:r>
    </w:p>
    <w:p w14:paraId="48D0B20F">
      <w:pPr>
        <w:pStyle w:val="51"/>
      </w:pPr>
      <w:r>
        <w:t>«Дата и время» — обязательное поле.</w:t>
      </w:r>
    </w:p>
    <w:p w14:paraId="094BC53D">
      <w:pPr>
        <w:pStyle w:val="44"/>
      </w:pPr>
      <w:r>
        <w:t>Для исключения услуги из счета указать признак «Исключен из счета».</w:t>
      </w:r>
    </w:p>
    <w:p w14:paraId="3ADA7C31">
      <w:pPr>
        <w:pStyle w:val="44"/>
      </w:pPr>
      <w:r>
        <w:t>Для сохранения введенных данных нажать кнопку «Сохранить».</w:t>
      </w:r>
      <w:bookmarkEnd w:id="348"/>
    </w:p>
    <w:p w14:paraId="6ADB4521">
      <w:pPr>
        <w:pStyle w:val="40"/>
      </w:pPr>
      <w:bookmarkStart w:id="350" w:name="_Toc131174705"/>
      <w:r>
        <w:t>Сведения о ЗНО</w:t>
      </w:r>
      <w:bookmarkEnd w:id="350"/>
    </w:p>
    <w:p w14:paraId="78F80150">
      <w:pPr>
        <w:pStyle w:val="44"/>
        <w:keepNext/>
      </w:pPr>
      <w:bookmarkStart w:id="351" w:name="_Hlk152343716"/>
      <w:r>
        <w:t xml:space="preserve">Внесение сведений о случае лечения онкологического заболевания осуществляется подразделе «Сведения о ЗНО» СТЦ (рис. </w:t>
      </w:r>
      <w:r>
        <w:fldChar w:fldCharType="begin"/>
      </w:r>
      <w:r>
        <w:instrText xml:space="preserve"> REF  _Ref518302096 \h\#\0   \* MERGEFORMAT </w:instrText>
      </w:r>
      <w:r>
        <w:fldChar w:fldCharType="separate"/>
      </w:r>
      <w:r>
        <w:t>58</w:t>
      </w:r>
      <w:r>
        <w:fldChar w:fldCharType="end"/>
      </w:r>
      <w:r>
        <w:t>). Раздел обязателен для заполнения при ЗНО.</w:t>
      </w:r>
      <w:bookmarkEnd w:id="351"/>
    </w:p>
    <w:p w14:paraId="1138DBBC">
      <w:pPr>
        <w:pStyle w:val="48"/>
      </w:pPr>
      <w:bookmarkStart w:id="352" w:name="_Hlk152694535"/>
      <w:bookmarkStart w:id="353" w:name="_Hlk152343738"/>
      <w:r>
        <w:drawing>
          <wp:inline distT="0" distB="0" distL="0" distR="0">
            <wp:extent cx="6116320" cy="2044700"/>
            <wp:effectExtent l="19050" t="19050" r="17780" b="12700"/>
            <wp:docPr id="12287122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712237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0447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9EA3E5">
      <w:pPr>
        <w:pStyle w:val="49"/>
      </w:pPr>
      <w:bookmarkStart w:id="354" w:name="_Ref5183020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58</w:t>
      </w:r>
      <w:r>
        <w:fldChar w:fldCharType="end"/>
      </w:r>
      <w:bookmarkEnd w:id="354"/>
      <w:r>
        <w:t xml:space="preserve"> — Создание СТЦ. Раздел «Сведения о ЗНО»</w:t>
      </w:r>
    </w:p>
    <w:bookmarkEnd w:id="352"/>
    <w:p w14:paraId="6D027223">
      <w:pPr>
        <w:pStyle w:val="44"/>
      </w:pPr>
      <w:bookmarkStart w:id="355" w:name="_Hlk152694606"/>
      <w:r>
        <w:t>Поля блока «Сведения о случае лечения онологического заболевания» заполняются выбором значений из раскрывающихся справочников.</w:t>
      </w:r>
      <w:bookmarkEnd w:id="355"/>
    </w:p>
    <w:p w14:paraId="11E1A2ED">
      <w:pPr>
        <w:pStyle w:val="44"/>
      </w:pPr>
      <w:bookmarkStart w:id="356" w:name="_Hlk152694662"/>
      <w:r>
        <w:t>Поле «Масса тела (кг)» недоступно для редактирования. Для расчета терапии отображаются антропометрические данные, введенные на вкладке «Госпитализация» в поле «Вес пациента, кг».</w:t>
      </w:r>
      <w:bookmarkEnd w:id="356"/>
    </w:p>
    <w:p w14:paraId="18341B77">
      <w:pPr>
        <w:pStyle w:val="44"/>
      </w:pPr>
      <w:bookmarkStart w:id="357" w:name="_Hlk152694683"/>
      <w:r>
        <w:t>Поля блока «Проведение химиолучевой или лучевой терапии»: «Суммарная очаговая доза» и «Количество фракций» заполняются вручную.</w:t>
      </w:r>
    </w:p>
    <w:p w14:paraId="220E7501">
      <w:pPr>
        <w:pStyle w:val="44"/>
      </w:pPr>
      <w:r>
        <w:t>Для сохранения введенных данных нажать кнопку «Сохранить».</w:t>
      </w:r>
      <w:bookmarkEnd w:id="353"/>
      <w:bookmarkEnd w:id="357"/>
    </w:p>
    <w:p w14:paraId="1FAB79DD">
      <w:pPr>
        <w:pStyle w:val="40"/>
      </w:pPr>
      <w:bookmarkStart w:id="358" w:name="_Toc131174706"/>
      <w:r>
        <w:t>Консилиум</w:t>
      </w:r>
      <w:bookmarkEnd w:id="358"/>
    </w:p>
    <w:p w14:paraId="106EC63D">
      <w:pPr>
        <w:pStyle w:val="44"/>
      </w:pPr>
      <w:bookmarkStart w:id="359" w:name="_Hlk152343951"/>
      <w:bookmarkStart w:id="360" w:name="_Hlk152752738"/>
      <w:r>
        <w:t xml:space="preserve">Внесение сведений о проведении консилиума осуществляется в подразделе «Консилиум» (рис. </w:t>
      </w:r>
      <w:r>
        <w:fldChar w:fldCharType="begin"/>
      </w:r>
      <w:r>
        <w:instrText xml:space="preserve"> REF  _Ref4680266 \h\#\0   \* MERGEFORMAT </w:instrText>
      </w:r>
      <w:r>
        <w:fldChar w:fldCharType="separate"/>
      </w:r>
      <w:r>
        <w:t>59</w:t>
      </w:r>
      <w:r>
        <w:fldChar w:fldCharType="end"/>
      </w:r>
      <w:r>
        <w:t>). Для внесения сведений нажать кнопку «+ Добавить».</w:t>
      </w:r>
      <w:bookmarkEnd w:id="359"/>
    </w:p>
    <w:p w14:paraId="24F56EC4">
      <w:pPr>
        <w:pStyle w:val="48"/>
      </w:pPr>
      <w:bookmarkStart w:id="361" w:name="_Hlk152752756"/>
      <w:r>
        <w:drawing>
          <wp:inline distT="0" distB="0" distL="0" distR="0">
            <wp:extent cx="6119495" cy="1785620"/>
            <wp:effectExtent l="19050" t="19050" r="14605" b="24130"/>
            <wp:docPr id="18809214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921425" name="Рисунок 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856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1CADBF">
      <w:pPr>
        <w:pStyle w:val="49"/>
      </w:pPr>
      <w:bookmarkStart w:id="362" w:name="_Ref46802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59</w:t>
      </w:r>
      <w:r>
        <w:fldChar w:fldCharType="end"/>
      </w:r>
      <w:bookmarkEnd w:id="362"/>
      <w:r>
        <w:t xml:space="preserve"> — Создание СТЦ. Вкладка «Консилиум»</w:t>
      </w:r>
      <w:bookmarkEnd w:id="360"/>
    </w:p>
    <w:p w14:paraId="134243FE">
      <w:pPr>
        <w:pStyle w:val="44"/>
      </w:pPr>
      <w:bookmarkStart w:id="363" w:name="_Hlk152344044"/>
      <w:r>
        <w:t xml:space="preserve">Откроется форма «Консилиум» (рис. </w:t>
      </w:r>
      <w:r>
        <w:fldChar w:fldCharType="begin"/>
      </w:r>
      <w:r>
        <w:instrText xml:space="preserve"> REF  _Ref4680458 \h\#\0   \* MERGEFORMAT </w:instrText>
      </w:r>
      <w:r>
        <w:fldChar w:fldCharType="separate"/>
      </w:r>
      <w:r>
        <w:t>60</w:t>
      </w:r>
      <w:r>
        <w:fldChar w:fldCharType="end"/>
      </w:r>
      <w:r>
        <w:rPr>
          <w:lang w:val="en-US"/>
        </w:rPr>
        <w:t>)</w:t>
      </w:r>
      <w:r>
        <w:t>.</w:t>
      </w:r>
      <w:bookmarkEnd w:id="361"/>
      <w:bookmarkEnd w:id="363"/>
    </w:p>
    <w:p w14:paraId="36DA9D4F">
      <w:pPr>
        <w:pStyle w:val="48"/>
      </w:pPr>
      <w:bookmarkStart w:id="364" w:name="_Hlk152344046"/>
      <w:bookmarkStart w:id="365" w:name="_Hlk147392827"/>
      <w:r>
        <w:drawing>
          <wp:inline distT="0" distB="0" distL="0" distR="0">
            <wp:extent cx="3239770" cy="3813810"/>
            <wp:effectExtent l="19050" t="19050" r="17780" b="15240"/>
            <wp:docPr id="19791528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152818" name="Рисунок 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381394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E9F5731">
      <w:pPr>
        <w:pStyle w:val="49"/>
      </w:pPr>
      <w:bookmarkStart w:id="366" w:name="_Ref4680458"/>
      <w:bookmarkStart w:id="367" w:name="_Hlk1527528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60</w:t>
      </w:r>
      <w:r>
        <w:fldChar w:fldCharType="end"/>
      </w:r>
      <w:bookmarkEnd w:id="366"/>
      <w:r>
        <w:t xml:space="preserve"> — Создание СТЦ. Раздел «Консилиум»</w:t>
      </w:r>
      <w:bookmarkEnd w:id="364"/>
    </w:p>
    <w:bookmarkEnd w:id="365"/>
    <w:bookmarkEnd w:id="367"/>
    <w:p w14:paraId="11E0A049">
      <w:pPr>
        <w:pStyle w:val="44"/>
      </w:pPr>
      <w:bookmarkStart w:id="368" w:name="_Hlk152752923"/>
      <w:bookmarkStart w:id="369" w:name="_Hlk152344047"/>
      <w:r>
        <w:t>Поле «Результат консилиума» обязательно для заполнения при внесении сведений о проведенном консилиуме. Заполняется выбором значения из раскрывающегося справочника.</w:t>
      </w:r>
      <w:bookmarkEnd w:id="368"/>
    </w:p>
    <w:p w14:paraId="7171CDCF">
      <w:pPr>
        <w:pStyle w:val="44"/>
      </w:pPr>
      <w:bookmarkStart w:id="370" w:name="_Hlk152753017"/>
      <w:r>
        <w:t xml:space="preserve">В блоке «Предоставленные медицинские документы» нажать «Добавить» и указать тип документов (при наличии), выбрав значение в раскрывающемся списке (рис. </w:t>
      </w:r>
      <w:r>
        <w:fldChar w:fldCharType="begin"/>
      </w:r>
      <w:r>
        <w:instrText xml:space="preserve"> REF  _Ref147392571 \h\#\0   \* MERGEFORMAT </w:instrText>
      </w:r>
      <w:r>
        <w:fldChar w:fldCharType="separate"/>
      </w:r>
      <w:r>
        <w:t>61</w:t>
      </w:r>
      <w:r>
        <w:fldChar w:fldCharType="end"/>
      </w:r>
      <w:r>
        <w:t>).</w:t>
      </w:r>
      <w:bookmarkEnd w:id="369"/>
      <w:bookmarkEnd w:id="370"/>
    </w:p>
    <w:p w14:paraId="17B9D17C">
      <w:pPr>
        <w:pStyle w:val="48"/>
      </w:pPr>
      <w:bookmarkStart w:id="371" w:name="_Hlk152753019"/>
      <w:r>
        <w:drawing>
          <wp:inline distT="0" distB="0" distL="0" distR="0">
            <wp:extent cx="5399405" cy="1432560"/>
            <wp:effectExtent l="19050" t="19050" r="10795" b="15240"/>
            <wp:docPr id="4777415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741540" name="Рисунок 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327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A23E2D8">
      <w:pPr>
        <w:pStyle w:val="49"/>
      </w:pPr>
      <w:bookmarkStart w:id="372" w:name="_Ref147392571"/>
      <w:bookmarkStart w:id="373" w:name="_Hlk1523440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61</w:t>
      </w:r>
      <w:r>
        <w:fldChar w:fldCharType="end"/>
      </w:r>
      <w:bookmarkEnd w:id="372"/>
      <w:r>
        <w:t xml:space="preserve"> — Консилиум. Выбор предоставленных медицинских документов</w:t>
      </w:r>
      <w:bookmarkEnd w:id="371"/>
      <w:bookmarkEnd w:id="373"/>
    </w:p>
    <w:p w14:paraId="1DC23204">
      <w:pPr>
        <w:pStyle w:val="44"/>
      </w:pPr>
      <w:bookmarkStart w:id="374" w:name="_Hlk152344062"/>
      <w:bookmarkStart w:id="375" w:name="_Hlk152753104"/>
      <w:r>
        <w:t xml:space="preserve">После выбора типа документа в блоке «Предоставленные медицинские документы» отобразятся поля выбранных типов документов для ввода текста вручную (рис. </w:t>
      </w:r>
      <w:r>
        <w:fldChar w:fldCharType="begin"/>
      </w:r>
      <w:r>
        <w:instrText xml:space="preserve"> REF  _Ref148958074 \h\#\0   \* MERGEFORMAT </w:instrText>
      </w:r>
      <w:r>
        <w:fldChar w:fldCharType="separate"/>
      </w:r>
      <w:r>
        <w:t>62</w:t>
      </w:r>
      <w:r>
        <w:fldChar w:fldCharType="end"/>
      </w:r>
      <w:r>
        <w:t>).</w:t>
      </w:r>
      <w:bookmarkEnd w:id="374"/>
    </w:p>
    <w:p w14:paraId="010DB8B6">
      <w:pPr>
        <w:pStyle w:val="48"/>
      </w:pPr>
      <w:bookmarkStart w:id="376" w:name="_Hlk152344069"/>
      <w:r>
        <w:drawing>
          <wp:inline distT="0" distB="0" distL="0" distR="0">
            <wp:extent cx="4676140" cy="5549900"/>
            <wp:effectExtent l="19050" t="19050" r="10160" b="12700"/>
            <wp:docPr id="8955377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37720" name="Рисунок 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685553" cy="556120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5903906">
      <w:pPr>
        <w:pStyle w:val="49"/>
      </w:pPr>
      <w:bookmarkStart w:id="377" w:name="_Ref14895807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62</w:t>
      </w:r>
      <w:r>
        <w:fldChar w:fldCharType="end"/>
      </w:r>
      <w:bookmarkEnd w:id="377"/>
      <w:r>
        <w:t xml:space="preserve"> — Консилиум. Предоставленные медицинские документы</w:t>
      </w:r>
      <w:bookmarkEnd w:id="375"/>
    </w:p>
    <w:p w14:paraId="38E887C0">
      <w:pPr>
        <w:pStyle w:val="44"/>
      </w:pPr>
      <w:bookmarkStart w:id="378" w:name="_Hlk152753188"/>
      <w:r>
        <w:t>Для сохранения внесенных сведений о проведенном консилиуме нажать кнопку «Сохранить».</w:t>
      </w:r>
      <w:bookmarkEnd w:id="376"/>
      <w:bookmarkEnd w:id="378"/>
    </w:p>
    <w:p w14:paraId="4BACB23B">
      <w:pPr>
        <w:pStyle w:val="40"/>
      </w:pPr>
      <w:bookmarkStart w:id="379" w:name="_Toc131174707"/>
      <w:bookmarkStart w:id="380" w:name="_Ref157512718"/>
      <w:bookmarkStart w:id="381" w:name="_Ref143801102"/>
      <w:bookmarkStart w:id="382" w:name="_Ref147395493"/>
      <w:r>
        <w:t>Выданные направления</w:t>
      </w:r>
      <w:bookmarkEnd w:id="379"/>
      <w:bookmarkEnd w:id="380"/>
      <w:bookmarkEnd w:id="381"/>
      <w:bookmarkEnd w:id="382"/>
    </w:p>
    <w:p w14:paraId="3B3E6756">
      <w:pPr>
        <w:pStyle w:val="44"/>
        <w:rPr>
          <w:lang w:val="en-US"/>
        </w:rPr>
      </w:pPr>
      <w:bookmarkStart w:id="383" w:name="_Hlk152344080"/>
      <w:r>
        <w:t xml:space="preserve">Регистрация сведений об исходящих направлениях осуществляется в подразделе «Выданные направления» (рис. </w:t>
      </w:r>
      <w:r>
        <w:fldChar w:fldCharType="begin"/>
      </w:r>
      <w:r>
        <w:instrText xml:space="preserve"> REF  _Ref164862660 \h\#\0   \* MERGEFORMAT </w:instrText>
      </w:r>
      <w:r>
        <w:fldChar w:fldCharType="separate"/>
      </w:r>
      <w:r>
        <w:t>63</w:t>
      </w:r>
      <w:r>
        <w:fldChar w:fldCharType="end"/>
      </w:r>
      <w:r>
        <w:t>).</w:t>
      </w:r>
      <w:r>
        <w:rPr>
          <w:lang w:val="en-US"/>
        </w:rPr>
        <w:t xml:space="preserve"> </w:t>
      </w:r>
      <w:r>
        <w:t>Для внесения данных нажать кнопку «+ Добавить».</w:t>
      </w:r>
    </w:p>
    <w:p w14:paraId="1C504DE5">
      <w:pPr>
        <w:pStyle w:val="48"/>
      </w:pPr>
      <w:r>
        <w:drawing>
          <wp:inline distT="0" distB="0" distL="0" distR="0">
            <wp:extent cx="6114415" cy="1296035"/>
            <wp:effectExtent l="19050" t="19050" r="19685" b="18415"/>
            <wp:docPr id="21015132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513217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29603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216F8E5">
      <w:pPr>
        <w:pStyle w:val="49"/>
      </w:pPr>
      <w:bookmarkStart w:id="384" w:name="_Ref1648626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63</w:t>
      </w:r>
      <w:r>
        <w:fldChar w:fldCharType="end"/>
      </w:r>
      <w:bookmarkEnd w:id="384"/>
      <w:r>
        <w:t xml:space="preserve"> — Создание СТЦ. Раздел «Выданные направления</w:t>
      </w:r>
    </w:p>
    <w:p w14:paraId="640F2947">
      <w:pPr>
        <w:pStyle w:val="44"/>
      </w:pPr>
      <w:r>
        <w:t xml:space="preserve">Откроется форма регистрации выданных направлений «Добавить выданное направление» (рис. </w:t>
      </w:r>
      <w:r>
        <w:fldChar w:fldCharType="begin"/>
      </w:r>
      <w:r>
        <w:instrText xml:space="preserve"> REF  _Ref507520536 \h\#\0   \* MERGEFORMAT </w:instrText>
      </w:r>
      <w:r>
        <w:fldChar w:fldCharType="separate"/>
      </w:r>
      <w:r>
        <w:t>64</w:t>
      </w:r>
      <w:r>
        <w:fldChar w:fldCharType="end"/>
      </w:r>
      <w:r>
        <w:t>).</w:t>
      </w:r>
      <w:bookmarkEnd w:id="383"/>
    </w:p>
    <w:p w14:paraId="488D9875">
      <w:pPr>
        <w:pStyle w:val="48"/>
      </w:pPr>
      <w:bookmarkStart w:id="385" w:name="_Hlk152753496"/>
      <w:r>
        <w:drawing>
          <wp:inline distT="0" distB="0" distL="114300" distR="114300">
            <wp:extent cx="4373245" cy="5159375"/>
            <wp:effectExtent l="9525" t="9525" r="21590" b="12700"/>
            <wp:docPr id="8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51593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B64249D">
      <w:pPr>
        <w:pStyle w:val="49"/>
      </w:pPr>
      <w:bookmarkStart w:id="386" w:name="_Ref507520536"/>
      <w:bookmarkStart w:id="387" w:name="_Hlk15234411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64</w:t>
      </w:r>
      <w:r>
        <w:fldChar w:fldCharType="end"/>
      </w:r>
      <w:bookmarkEnd w:id="386"/>
      <w:r>
        <w:t xml:space="preserve"> — СТЦ. Выданные направления. Внесение сведений о выданных направлениях</w:t>
      </w:r>
      <w:bookmarkEnd w:id="387"/>
    </w:p>
    <w:bookmarkEnd w:id="385"/>
    <w:p w14:paraId="5BDD6F41">
      <w:pPr>
        <w:pStyle w:val="44"/>
      </w:pPr>
      <w:bookmarkStart w:id="388" w:name="_Hlk152753567"/>
      <w:bookmarkStart w:id="389" w:name="_Hlk152344142"/>
      <w:r>
        <w:t>Форма выданного направления содержит следующие поля:</w:t>
      </w:r>
    </w:p>
    <w:bookmarkEnd w:id="388"/>
    <w:p w14:paraId="5740ED4C">
      <w:pPr>
        <w:pStyle w:val="51"/>
      </w:pPr>
      <w:r>
        <w:t>«ИД электронного направления во внеш. системе» — идентификатор электронного направления во внешней системе;</w:t>
      </w:r>
    </w:p>
    <w:p w14:paraId="4A2507F6">
      <w:pPr>
        <w:pStyle w:val="51"/>
      </w:pPr>
      <w:r>
        <w:t>«Внешняя система источник оригинала электронного документа» — заполняется выбором значения из раскрывающегося справочника.</w:t>
      </w:r>
    </w:p>
    <w:p w14:paraId="5A885B4D">
      <w:pPr>
        <w:pStyle w:val="44"/>
      </w:pPr>
      <w:r>
        <w:t>Следующие поля являются обязательными для заполнения, если не указано электронное направление:</w:t>
      </w:r>
    </w:p>
    <w:p w14:paraId="5901F0BF">
      <w:pPr>
        <w:pStyle w:val="51"/>
      </w:pPr>
      <w:r>
        <w:t>«Вид направления» — обязательное поле, заполняется выбором значения из раскрывающегося справочника;</w:t>
      </w:r>
    </w:p>
    <w:p w14:paraId="3A7DAAF3">
      <w:pPr>
        <w:pStyle w:val="51"/>
      </w:pPr>
      <w:bookmarkStart w:id="390" w:name="_Hlk152753682"/>
      <w:r>
        <w:t>«Номер направления» — обязательное поле;</w:t>
      </w:r>
      <w:bookmarkEnd w:id="390"/>
    </w:p>
    <w:p w14:paraId="021404C6">
      <w:pPr>
        <w:pStyle w:val="51"/>
      </w:pPr>
      <w:bookmarkStart w:id="391" w:name="_Hlk152753698"/>
      <w:r>
        <w:t>«Дата направления» — обязательное поле;</w:t>
      </w:r>
    </w:p>
    <w:p w14:paraId="1006B2D9">
      <w:pPr>
        <w:pStyle w:val="51"/>
      </w:pPr>
      <w:r>
        <w:t>«Тип организации, в которую выдано направление» — обязательное поле, заполняется выбором значения из раскрывающегося справочника;</w:t>
      </w:r>
    </w:p>
    <w:bookmarkEnd w:id="391"/>
    <w:p w14:paraId="6C07EEE5">
      <w:pPr>
        <w:pStyle w:val="51"/>
      </w:pPr>
      <w:bookmarkStart w:id="392" w:name="_Hlk152753824"/>
      <w:r>
        <w:t>«МО, в которую направлен пациент» — обязательное поле, заполняется выбором значения из раскрывающегося справочника;</w:t>
      </w:r>
    </w:p>
    <w:bookmarkEnd w:id="392"/>
    <w:p w14:paraId="650AD4FA">
      <w:pPr>
        <w:pStyle w:val="51"/>
      </w:pPr>
      <w:bookmarkStart w:id="393" w:name="_Hlk152753904"/>
      <w:r>
        <w:t>«Диагноз направления» — диагноз направления, обязательное поле, заполняется выбором значения из раскрывающегося справочника;</w:t>
      </w:r>
    </w:p>
    <w:p w14:paraId="0764ACA6">
      <w:pPr>
        <w:pStyle w:val="51"/>
      </w:pPr>
      <w:r>
        <w:t>«Медработник, выдавший направление» — обязательное поле, заполняется выбором значения из раскрывающегося справочника;</w:t>
      </w:r>
    </w:p>
    <w:p w14:paraId="3C400DAF">
      <w:pPr>
        <w:pStyle w:val="44"/>
      </w:pPr>
      <w:r>
        <w:t>Блок «ЗНО» содержит следующие поля:</w:t>
      </w:r>
    </w:p>
    <w:p w14:paraId="0059C0F4">
      <w:pPr>
        <w:pStyle w:val="51"/>
      </w:pPr>
      <w:r>
        <w:t>«Вид направления (ЗНО)» — заполняется выбором значения из раскрывающегося справочника.</w:t>
      </w:r>
    </w:p>
    <w:p w14:paraId="0E4C03F8">
      <w:pPr>
        <w:pStyle w:val="44"/>
        <w:keepNext/>
      </w:pPr>
      <w:r>
        <w:t>Блок «Профиль» содержит следующие поля:</w:t>
      </w:r>
    </w:p>
    <w:bookmarkEnd w:id="393"/>
    <w:p w14:paraId="154104D5">
      <w:pPr>
        <w:pStyle w:val="51"/>
      </w:pPr>
      <w:r>
        <w:t>«Профиль медицинской помощи» — обязательное поле, профиль медицинской помощи 1.2.643.5.1.13.13.11.1119, заполняется выбором значения из раскрывающегося справочника.</w:t>
      </w:r>
    </w:p>
    <w:p w14:paraId="7A632903">
      <w:pPr>
        <w:pStyle w:val="44"/>
      </w:pPr>
      <w:bookmarkStart w:id="394" w:name="_Hlk152753983"/>
      <w:r>
        <w:t>Для сохранения внесенных данных нажать «Сохранить».</w:t>
      </w:r>
      <w:bookmarkEnd w:id="394"/>
    </w:p>
    <w:p w14:paraId="49294EFB">
      <w:pPr>
        <w:pStyle w:val="44"/>
      </w:pPr>
      <w:bookmarkStart w:id="395" w:name="_Hlk152754028"/>
      <w:r>
        <w:t xml:space="preserve">После сохранения СЭФД выданные (исходящие) направления отражаются в «Реестре направлений» (см. </w:t>
      </w:r>
      <w:r>
        <w:fldChar w:fldCharType="begin"/>
      </w:r>
      <w:r>
        <w:instrText xml:space="preserve"> REF _Ref155773288 \n \h  \* MERGEFORMAT </w:instrText>
      </w:r>
      <w:r>
        <w:fldChar w:fldCharType="separate"/>
      </w:r>
      <w:r>
        <w:t>4.5</w:t>
      </w:r>
      <w:r>
        <w:fldChar w:fldCharType="end"/>
      </w:r>
      <w:r>
        <w:t>). Найти созданное направление можно по номеру или виду направления.</w:t>
      </w:r>
      <w:bookmarkEnd w:id="389"/>
      <w:bookmarkEnd w:id="395"/>
      <w:bookmarkStart w:id="396" w:name="_Ref147162959"/>
      <w:bookmarkStart w:id="397" w:name="_Toc149209637"/>
    </w:p>
    <w:p w14:paraId="2A779755">
      <w:pPr>
        <w:pStyle w:val="39"/>
      </w:pPr>
      <w:bookmarkStart w:id="398" w:name="_Ref156901441"/>
      <w:bookmarkStart w:id="399" w:name="_Ref164171910"/>
      <w:bookmarkStart w:id="400" w:name="_Toc156310630"/>
      <w:bookmarkStart w:id="401" w:name="_Toc225871507"/>
      <w:r>
        <w:t>Заполнение СЭФД АМБ</w:t>
      </w:r>
      <w:bookmarkEnd w:id="398"/>
      <w:bookmarkEnd w:id="399"/>
      <w:bookmarkEnd w:id="400"/>
      <w:bookmarkEnd w:id="401"/>
    </w:p>
    <w:p w14:paraId="48F569A0">
      <w:pPr>
        <w:pStyle w:val="44"/>
      </w:pPr>
      <w:bookmarkStart w:id="402" w:name="_Hlk152347204"/>
      <w:r>
        <w:t>Форма СЭФД АМБ предназначена для регистрации сведений амбулаторно-поликлинической помощи, оказанной в амбулаторных условиях. Датой окончания оказания МП считается дата последнего посещения в рамках медицинского случая (обращения, посещения, единичной услуги).</w:t>
      </w:r>
    </w:p>
    <w:bookmarkEnd w:id="402"/>
    <w:p w14:paraId="09E1FF7D">
      <w:pPr>
        <w:pStyle w:val="44"/>
      </w:pPr>
      <w:r>
        <w:t xml:space="preserve">После выбора типа документа «АМБ» откроется форма «Создание АМБ» (рис. </w:t>
      </w:r>
      <w:r>
        <w:fldChar w:fldCharType="begin"/>
      </w:r>
      <w:r>
        <w:instrText xml:space="preserve"> REF  _Ref143783442 \h\#\0   \* MERGEFORMAT </w:instrText>
      </w:r>
      <w:r>
        <w:fldChar w:fldCharType="separate"/>
      </w:r>
      <w:r>
        <w:t>33</w:t>
      </w:r>
      <w:r>
        <w:fldChar w:fldCharType="end"/>
      </w:r>
      <w:r>
        <w:t>).</w:t>
      </w:r>
    </w:p>
    <w:p w14:paraId="6480C1D5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3264535"/>
            <wp:effectExtent l="19050" t="19050" r="14605" b="12065"/>
            <wp:docPr id="11626133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613391" name="Рисунок 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645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465E4B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65</w:t>
      </w:r>
      <w:r>
        <w:fldChar w:fldCharType="end"/>
      </w:r>
      <w:r>
        <w:t xml:space="preserve"> — Создание АМБ</w:t>
      </w:r>
    </w:p>
    <w:p w14:paraId="789C5210">
      <w:pPr>
        <w:pStyle w:val="44"/>
      </w:pPr>
      <w:r>
        <w:t>В панели фильтрации в блоке «Фильтр» указать ЕНП, полис или документ, удостоверяющий личность пациента (ДУДЛ), для идентификации по данным ФЕРЗЛ (см. </w:t>
      </w:r>
      <w:r>
        <w:fldChar w:fldCharType="begin"/>
      </w:r>
      <w:r>
        <w:instrText xml:space="preserve"> REF _Ref154569566 \r \h  \* MERGEFORMAT </w:instrText>
      </w:r>
      <w:r>
        <w:fldChar w:fldCharType="separate"/>
      </w:r>
      <w:r>
        <w:t>4.2.2.2</w:t>
      </w:r>
      <w:r>
        <w:fldChar w:fldCharType="end"/>
      </w:r>
      <w:r>
        <w:t>).</w:t>
      </w:r>
    </w:p>
    <w:p w14:paraId="20052288">
      <w:pPr>
        <w:pStyle w:val="44"/>
      </w:pPr>
      <w:r>
        <w:t xml:space="preserve">После вывода результатов поиска необходимо просмотреть сведения о застрахованном лице, убедиться в корректности данных и выбрать пациента, нажав на значок </w:t>
      </w:r>
      <w:r>
        <w:drawing>
          <wp:inline distT="0" distB="0" distL="0" distR="0">
            <wp:extent cx="190500" cy="190500"/>
            <wp:effectExtent l="19050" t="19050" r="19050" b="19050"/>
            <wp:docPr id="953374895" name="Рисунок 953374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374895" name="Рисунок 95337489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справа от</w:t>
      </w:r>
      <w:r>
        <w:rPr>
          <w:lang w:val="en-US"/>
        </w:rPr>
        <w:t> </w:t>
      </w:r>
      <w:r>
        <w:t>ФИО пациента. В дальнейшем поиск пациента, идентифицированного в ФПУМП, возможен по ОИП. При этом ряд полей автоматически заполнится актуальными данными, полученными из ФЕРЗЛ.</w:t>
      </w:r>
    </w:p>
    <w:p w14:paraId="000A727C">
      <w:pPr>
        <w:pStyle w:val="44"/>
      </w:pPr>
      <w:r>
        <w:t xml:space="preserve">Регистрация данных осуществляется путем заполнения разделов формы АМБ. Переход в раздел выполняется выбором одноименной вкладки. Форма создания АМБ (рис. </w:t>
      </w:r>
      <w:r>
        <w:fldChar w:fldCharType="begin"/>
      </w:r>
      <w:r>
        <w:instrText xml:space="preserve"> REF  _Ref156901899 \h\#\0   \* MERGEFORMAT </w:instrText>
      </w:r>
      <w:r>
        <w:fldChar w:fldCharType="separate"/>
      </w:r>
      <w:r>
        <w:t>66</w:t>
      </w:r>
      <w:r>
        <w:fldChar w:fldCharType="end"/>
      </w:r>
      <w:r>
        <w:t>) содержит следующие вкладки:</w:t>
      </w:r>
    </w:p>
    <w:p w14:paraId="2BD69F91">
      <w:pPr>
        <w:pStyle w:val="51"/>
      </w:pPr>
      <w:r>
        <w:t>«АМБ»;</w:t>
      </w:r>
    </w:p>
    <w:p w14:paraId="63B45112">
      <w:pPr>
        <w:pStyle w:val="51"/>
      </w:pPr>
      <w:r>
        <w:t>«Диагнозы»;</w:t>
      </w:r>
    </w:p>
    <w:p w14:paraId="17970D63">
      <w:pPr>
        <w:pStyle w:val="51"/>
      </w:pPr>
      <w:r>
        <w:t>«Посещения/Диагностика»;</w:t>
      </w:r>
    </w:p>
    <w:p w14:paraId="18E94D62">
      <w:pPr>
        <w:pStyle w:val="51"/>
      </w:pPr>
      <w:r>
        <w:t>«Сведения о ЗНО»;</w:t>
      </w:r>
    </w:p>
    <w:p w14:paraId="494A67D7">
      <w:pPr>
        <w:pStyle w:val="51"/>
      </w:pPr>
      <w:r>
        <w:t>«Консилиум»;</w:t>
      </w:r>
    </w:p>
    <w:p w14:paraId="7EF79F07">
      <w:pPr>
        <w:pStyle w:val="51"/>
      </w:pPr>
      <w:r>
        <w:t>«Выданные направления».</w:t>
      </w:r>
    </w:p>
    <w:p w14:paraId="4496598B">
      <w:pPr>
        <w:pStyle w:val="44"/>
      </w:pPr>
      <w:r>
        <w:t>Вкладки «Ошибки ФЛК» и «ИП» отображаются на форме после сохранения СЭФД.</w:t>
      </w:r>
    </w:p>
    <w:p w14:paraId="54BF43EF">
      <w:pPr>
        <w:pStyle w:val="49"/>
        <w:ind w:left="0"/>
        <w:rPr>
          <w:lang w:eastAsia="ru-RU"/>
        </w:rPr>
      </w:pPr>
      <w:r>
        <w:rPr>
          <w14:ligatures w14:val="standardContextual"/>
        </w:rPr>
        <w:drawing>
          <wp:inline distT="0" distB="0" distL="0" distR="0">
            <wp:extent cx="6119495" cy="1156970"/>
            <wp:effectExtent l="19050" t="19050" r="14605" b="24130"/>
            <wp:docPr id="12909272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927246" name="Рисунок 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569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D9D7D3">
      <w:pPr>
        <w:pStyle w:val="49"/>
      </w:pPr>
      <w:bookmarkStart w:id="403" w:name="_Ref1569018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66</w:t>
      </w:r>
      <w:r>
        <w:fldChar w:fldCharType="end"/>
      </w:r>
      <w:bookmarkEnd w:id="403"/>
      <w:r>
        <w:t xml:space="preserve"> — Создание АМБ</w:t>
      </w:r>
    </w:p>
    <w:p w14:paraId="5E399C08">
      <w:pPr>
        <w:pStyle w:val="44"/>
      </w:pPr>
      <w:r>
        <w:t>Каждый подраздел содержит ряд полей, обязательных для заполнения.</w:t>
      </w:r>
    </w:p>
    <w:p w14:paraId="6323CBB3">
      <w:pPr>
        <w:pStyle w:val="44"/>
      </w:pPr>
      <w:r>
        <w:t>Некоторые из обязательных полей заполнены значениями по умолчанию (предзаполнены). Пользователю предоставлена возможность изменения заполненных по</w:t>
      </w:r>
      <w:r>
        <w:rPr>
          <w:lang w:val="en-US"/>
        </w:rPr>
        <w:t> </w:t>
      </w:r>
      <w:r>
        <w:t>умолчанию полей выбором значений из раскрывающихся справочников.</w:t>
      </w:r>
    </w:p>
    <w:p w14:paraId="6F4A8856">
      <w:pPr>
        <w:pStyle w:val="44"/>
      </w:pPr>
      <w:r>
        <w:t>Для очистки полей формы нажать кнопку «Очистить» в панели инструментов в правой верхней части экрана.</w:t>
      </w:r>
    </w:p>
    <w:p w14:paraId="195D442E">
      <w:pPr>
        <w:pStyle w:val="40"/>
      </w:pPr>
      <w:bookmarkStart w:id="404" w:name="_Ref165036593"/>
      <w:r>
        <w:t>АМБ</w:t>
      </w:r>
      <w:bookmarkEnd w:id="404"/>
    </w:p>
    <w:p w14:paraId="5C2D93BA">
      <w:pPr>
        <w:pStyle w:val="44"/>
      </w:pPr>
      <w:r>
        <w:t xml:space="preserve">Подраздел «АМБ» состоит из блоков: «ТПГГ и ПГГ», «Основная информация», «Обслуживание», «Диспансеризация и профосмотр», «Шкала ШРМ», «Школа сахарного диабета», «Направление входящее» и «Оплата» (рис. </w:t>
      </w:r>
      <w:r>
        <w:fldChar w:fldCharType="begin"/>
      </w:r>
      <w:r>
        <w:instrText xml:space="preserve"> REF  _Ref156901928 \h\#\0   \* MERGEFORMAT </w:instrText>
      </w:r>
      <w:r>
        <w:fldChar w:fldCharType="separate"/>
      </w:r>
      <w:r>
        <w:t>67</w:t>
      </w:r>
      <w:r>
        <w:fldChar w:fldCharType="end"/>
      </w:r>
      <w:r>
        <w:t>).</w:t>
      </w:r>
    </w:p>
    <w:p w14:paraId="4B132307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2859405"/>
            <wp:effectExtent l="19050" t="19050" r="14605" b="17145"/>
            <wp:docPr id="13059214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921400" name="Рисунок 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594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C0CA62">
      <w:pPr>
        <w:pStyle w:val="49"/>
      </w:pPr>
      <w:bookmarkStart w:id="405" w:name="_Ref1569019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67</w:t>
      </w:r>
      <w:r>
        <w:fldChar w:fldCharType="end"/>
      </w:r>
      <w:bookmarkEnd w:id="405"/>
      <w:r>
        <w:t xml:space="preserve"> — Создание АМБ, подраздел «АМБ»</w:t>
      </w:r>
    </w:p>
    <w:p w14:paraId="7CEDAEA6">
      <w:pPr>
        <w:pStyle w:val="44"/>
      </w:pPr>
      <w:r>
        <w:t>Блок «Тарифное соглашение» содержит поле:</w:t>
      </w:r>
    </w:p>
    <w:p w14:paraId="45520CB1">
      <w:pPr>
        <w:pStyle w:val="51"/>
        <w:numPr>
          <w:ilvl w:val="0"/>
          <w:numId w:val="17"/>
        </w:numPr>
      </w:pPr>
      <w:r>
        <w:t>«ТПГГ и ПГГ» — код МО в системе ОМС по справочнику F032 (обязательное поле). Заполняется выбором значения из</w:t>
      </w:r>
      <w:r>
        <w:rPr>
          <w:lang w:val="en-US"/>
        </w:rPr>
        <w:t> </w:t>
      </w:r>
      <w:r>
        <w:t>раскрывающегося списка.</w:t>
      </w:r>
    </w:p>
    <w:p w14:paraId="77BDBBD6">
      <w:pPr>
        <w:pStyle w:val="44"/>
        <w:keepNext/>
      </w:pPr>
      <w:r>
        <w:t>Блок «Основная информация» содержит следующий набор полей:</w:t>
      </w:r>
    </w:p>
    <w:p w14:paraId="44DC0344">
      <w:pPr>
        <w:pStyle w:val="51"/>
      </w:pPr>
      <w:r>
        <w:t>«Идентификатор СЭМД» — заполняется вручную пользователем, идентификатор СЭМД «Эпикриз по законченному случаю амбулаторный»;</w:t>
      </w:r>
    </w:p>
    <w:p w14:paraId="477631BA">
      <w:pPr>
        <w:pStyle w:val="51"/>
      </w:pPr>
      <w:r>
        <w:t>«Основание установки признака противоправных действий» — заполняется выбором значения из раскрывающегося справочника;</w:t>
      </w:r>
    </w:p>
    <w:p w14:paraId="1C5E873C">
      <w:pPr>
        <w:pStyle w:val="51"/>
      </w:pPr>
      <w:r>
        <w:t>«Номер медкарты» — обязательное поле. Заполняется вручную;</w:t>
      </w:r>
    </w:p>
    <w:p w14:paraId="7176DA64">
      <w:pPr>
        <w:pStyle w:val="51"/>
      </w:pPr>
      <w:r>
        <w:t>«Основной медработник» — заполняется автоматически значением занятости мед. работника из посещения, если посещений несколько, то из последнего по дате;</w:t>
      </w:r>
    </w:p>
    <w:p w14:paraId="77A5271C">
      <w:pPr>
        <w:pStyle w:val="51"/>
      </w:pPr>
      <w:r>
        <w:t>«Масса тела пациента, кг» — обязательное поле. Заполняется вручную;</w:t>
      </w:r>
    </w:p>
    <w:p w14:paraId="15DA55E2">
      <w:pPr>
        <w:pStyle w:val="51"/>
      </w:pPr>
      <w:r>
        <w:t>«Рост пациента, см» — обязательное поле. Заполняется вручную;</w:t>
      </w:r>
    </w:p>
    <w:p w14:paraId="741D8A8D">
      <w:pPr>
        <w:pStyle w:val="51"/>
      </w:pPr>
      <w:r>
        <w:t>«Вес при рождении» — заполняется вручную;</w:t>
      </w:r>
    </w:p>
    <w:p w14:paraId="2C59400E">
      <w:pPr>
        <w:pStyle w:val="51"/>
      </w:pPr>
      <w:r>
        <w:t>«Группа мобильности» — заполняется выбором из раскрывающегося списка.</w:t>
      </w:r>
    </w:p>
    <w:p w14:paraId="76FB243C">
      <w:pPr>
        <w:pStyle w:val="44"/>
      </w:pPr>
      <w:r>
        <w:t>Признак «Подозрение на противоправные действия» устанавливается в случаях наличия у пациента признаков причинения вреда здоровью в результате совершения противоправных действий.</w:t>
      </w:r>
    </w:p>
    <w:p w14:paraId="1BAA191F">
      <w:pPr>
        <w:pStyle w:val="44"/>
      </w:pPr>
      <w:r>
        <w:t>«Признак подозрения на ЗНО» — признак указывается простановкой флага в поле при наличии подозрений на ЗНО.</w:t>
      </w:r>
    </w:p>
    <w:p w14:paraId="67926F89">
      <w:pPr>
        <w:pStyle w:val="44"/>
      </w:pPr>
      <w:r>
        <w:t>В блоке «Обслуживание» обязательно должно быть заполнено одно из полей:</w:t>
      </w:r>
    </w:p>
    <w:p w14:paraId="77CDBA3A">
      <w:pPr>
        <w:pStyle w:val="51"/>
      </w:pPr>
      <w:r>
        <w:t>«Дата начала» — при создании документа поле заполняется автоматически из</w:t>
      </w:r>
      <w:r>
        <w:rPr>
          <w:lang w:val="en-US"/>
        </w:rPr>
        <w:t> </w:t>
      </w:r>
      <w:r>
        <w:t>первого посещения и берется из введенного значения «Дата посещения» подвкладки «Посещения/Диагностика»;</w:t>
      </w:r>
    </w:p>
    <w:p w14:paraId="2A6E2CA5">
      <w:pPr>
        <w:pStyle w:val="51"/>
      </w:pPr>
      <w:r>
        <w:t>«Дата окончания» — при создании документа поле заполняется автоматически и</w:t>
      </w:r>
      <w:r>
        <w:rPr>
          <w:lang w:val="en-US"/>
        </w:rPr>
        <w:t> </w:t>
      </w:r>
      <w:r>
        <w:t>равна дате последнего посещения, берется из введенного значения «Дата посещения» подвкладки «Посещения/Диагностика»;</w:t>
      </w:r>
    </w:p>
    <w:p w14:paraId="48600E1B">
      <w:pPr>
        <w:pStyle w:val="51"/>
      </w:pPr>
      <w:r>
        <w:t>«Услуга ТНКМУ» — расчетное поле, рассчитывается после сохранения документа при заполнении поля «Тип расчета стоимости АМБ»;</w:t>
      </w:r>
    </w:p>
    <w:p w14:paraId="34B85E25">
      <w:pPr>
        <w:pStyle w:val="51"/>
      </w:pPr>
      <w:r>
        <w:t>«Тип расчета стоимости АМБ» — расчетное поле. Данный признак определяет порядок расчета стоимости/Выбор типа признака расчета стоимости зависит от типа услуги — комплексная или разовая. Диспансеризация — это комплекс услуг и оплачивается целиком, как комплекс услуг, даже если врачи находятся в разных МО. Обращение по заболеванию, за</w:t>
      </w:r>
      <w:r>
        <w:rPr>
          <w:lang w:val="en-US"/>
        </w:rPr>
        <w:t> </w:t>
      </w:r>
      <w:r>
        <w:t>справкой — это разовые услуги, которые оплачиваются единоразово;</w:t>
      </w:r>
    </w:p>
    <w:p w14:paraId="5FB38D3B">
      <w:pPr>
        <w:pStyle w:val="51"/>
      </w:pPr>
      <w:r>
        <w:t>«Тип мед.случая АМБ» — обязательное поле.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13D508A0">
      <w:pPr>
        <w:pStyle w:val="51"/>
      </w:pPr>
      <w:r>
        <w:t>«Цель посещения» — обязательное поле. Заполняется выбором значения из</w:t>
      </w:r>
      <w:r>
        <w:rPr>
          <w:lang w:val="en-US"/>
        </w:rPr>
        <w:t> </w:t>
      </w:r>
      <w:r>
        <w:t>раскрывающегося Классификатора целей посещения V025;</w:t>
      </w:r>
    </w:p>
    <w:p w14:paraId="3C698E6F">
      <w:pPr>
        <w:pStyle w:val="51"/>
      </w:pPr>
      <w:r>
        <w:t>«Результат обращения» — обязательное поле. Заполняется выбором значения из</w:t>
      </w:r>
      <w:r>
        <w:rPr>
          <w:lang w:val="en-US"/>
        </w:rPr>
        <w:t> </w:t>
      </w:r>
      <w:r>
        <w:t>раскрывающегося Классификатора результатов обращения за медицинской помощью V009;</w:t>
      </w:r>
    </w:p>
    <w:p w14:paraId="388A0E6B">
      <w:pPr>
        <w:pStyle w:val="51"/>
      </w:pPr>
      <w:r>
        <w:t>«Исход заболевания» — обязательное поле. Заполняется выбором значения из</w:t>
      </w:r>
      <w:r>
        <w:rPr>
          <w:lang w:val="en-US"/>
        </w:rPr>
        <w:t> </w:t>
      </w:r>
      <w:r>
        <w:t>раскрывающегося Классификатора исходов заболевания V012;</w:t>
      </w:r>
    </w:p>
    <w:p w14:paraId="7F3B2350">
      <w:pPr>
        <w:pStyle w:val="51"/>
      </w:pPr>
      <w:r>
        <w:t>«Первичное/повторное обращение с данным диагнозом в этом году» — обязательное поле;</w:t>
      </w:r>
    </w:p>
    <w:p w14:paraId="1AC6BC49">
      <w:pPr>
        <w:pStyle w:val="51"/>
      </w:pPr>
      <w:r>
        <w:t>«Комплексная услуга из НМУ» — заполняется выбором значения из</w:t>
      </w:r>
      <w:r>
        <w:rPr>
          <w:lang w:val="en-US"/>
        </w:rPr>
        <w:t> </w:t>
      </w:r>
      <w:r>
        <w:t>раскрывающегося справочника 1.2.643.5.1.13.13.11.1070;</w:t>
      </w:r>
    </w:p>
    <w:p w14:paraId="5531F8B0">
      <w:pPr>
        <w:pStyle w:val="51"/>
      </w:pPr>
      <w:r>
        <w:t>«Прививки по эпидемическим показаниям».</w:t>
      </w:r>
    </w:p>
    <w:p w14:paraId="2DED4D8F">
      <w:pPr>
        <w:pStyle w:val="44"/>
      </w:pPr>
      <w:r>
        <w:t>Блок «Диспансеризация и профосмотр» содержит следующий набор полей:</w:t>
      </w:r>
    </w:p>
    <w:p w14:paraId="566F2B46">
      <w:pPr>
        <w:pStyle w:val="51"/>
      </w:pPr>
      <w:r>
        <w:t>«Отказ от диспансеризации» —</w:t>
      </w:r>
      <w:r>
        <w:rPr>
          <w:b/>
          <w:bCs/>
        </w:rPr>
        <w:t xml:space="preserve"> </w:t>
      </w:r>
      <w:r>
        <w:t>признак указывается простановкой флага;</w:t>
      </w:r>
    </w:p>
    <w:p w14:paraId="03C5231F">
      <w:pPr>
        <w:pStyle w:val="51"/>
      </w:pPr>
      <w:r>
        <w:t>«Тип диспансеризации» — заполняется выбором значения из раскрывающегося Классификатора типов диспансеризации V016;</w:t>
      </w:r>
    </w:p>
    <w:p w14:paraId="6C205678">
      <w:pPr>
        <w:pStyle w:val="51"/>
      </w:pPr>
      <w:r>
        <w:t>«Период проведения следующего планового осмотра» — дата в формате дд.мм.гггг;</w:t>
      </w:r>
    </w:p>
    <w:p w14:paraId="2053C0C6">
      <w:pPr>
        <w:pStyle w:val="51"/>
      </w:pPr>
      <w:r>
        <w:t>«Ранее пройденные посещения/исследования»</w:t>
      </w:r>
      <w:r>
        <w:rPr>
          <w:lang w:val="en-US"/>
        </w:rPr>
        <w:t>;</w:t>
      </w:r>
    </w:p>
    <w:p w14:paraId="48173F40">
      <w:pPr>
        <w:pStyle w:val="51"/>
      </w:pPr>
      <w:r>
        <w:t>«Особая категория пациентов» — признак указывается простановкой флага.</w:t>
      </w:r>
    </w:p>
    <w:p w14:paraId="08497B87">
      <w:pPr>
        <w:pStyle w:val="44"/>
      </w:pPr>
      <w:r>
        <w:t>Блок «Школа сахарного диабета и реабилитация» содержит следующий набор полей:</w:t>
      </w:r>
    </w:p>
    <w:p w14:paraId="06149B0D">
      <w:pPr>
        <w:pStyle w:val="51"/>
      </w:pPr>
      <w:r>
        <w:t>«Индивидуальное/групповое» — заполняется выбором значения из раскрывающегося списка;</w:t>
      </w:r>
    </w:p>
    <w:p w14:paraId="0FF6CBEA">
      <w:pPr>
        <w:pStyle w:val="51"/>
      </w:pPr>
      <w:r>
        <w:t>«Характер/тип заболевания, состояния» — заполняется выбором значения из</w:t>
      </w:r>
      <w:r>
        <w:rPr>
          <w:lang w:val="en-US"/>
        </w:rPr>
        <w:t> </w:t>
      </w:r>
      <w:r>
        <w:t>раскрывающегося списка</w:t>
      </w:r>
    </w:p>
    <w:p w14:paraId="09F99565">
      <w:pPr>
        <w:pStyle w:val="51"/>
      </w:pPr>
      <w:r>
        <w:t>«Балл» — заполняется выбором значения из раскрывающегося списка;</w:t>
      </w:r>
    </w:p>
    <w:p w14:paraId="2FC6F830">
      <w:pPr>
        <w:pStyle w:val="51"/>
      </w:pPr>
      <w:r>
        <w:t>«Дата измерения» — заполняется вводом с клавиатуры в формате дд.мм.гггг или выбором значения в календаре.</w:t>
      </w:r>
    </w:p>
    <w:p w14:paraId="77125401">
      <w:pPr>
        <w:pStyle w:val="44"/>
      </w:pPr>
      <w:r>
        <w:t xml:space="preserve">Блок «Направление входящее» по умолчанию свернут. Чтобы внести/просмотреть сведения о входящем направлении воспользоваться переключателем слева от наименования блока (рис. </w:t>
      </w:r>
      <w:r>
        <w:fldChar w:fldCharType="begin"/>
      </w:r>
      <w:r>
        <w:instrText xml:space="preserve"> REF  _Ref164866551 \h\#\0   \* MERGEFORMAT </w:instrText>
      </w:r>
      <w:r>
        <w:fldChar w:fldCharType="separate"/>
      </w:r>
      <w:r>
        <w:t>68</w:t>
      </w:r>
      <w:r>
        <w:fldChar w:fldCharType="end"/>
      </w:r>
      <w:r>
        <w:t>).</w:t>
      </w:r>
    </w:p>
    <w:p w14:paraId="2F9358C7">
      <w:pPr>
        <w:pStyle w:val="48"/>
      </w:pPr>
      <w:r>
        <w:drawing>
          <wp:inline distT="0" distB="0" distL="0" distR="0">
            <wp:extent cx="6114415" cy="2695575"/>
            <wp:effectExtent l="19050" t="19050" r="19685" b="28575"/>
            <wp:docPr id="104508117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081177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955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A8FA09F">
      <w:pPr>
        <w:pStyle w:val="49"/>
      </w:pPr>
      <w:bookmarkStart w:id="406" w:name="_Ref1648665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68</w:t>
      </w:r>
      <w:r>
        <w:fldChar w:fldCharType="end"/>
      </w:r>
      <w:bookmarkEnd w:id="406"/>
      <w:r>
        <w:t xml:space="preserve"> — Создание АМБ. Подраздел «АМБ». Блок «Направление входящее»</w:t>
      </w:r>
    </w:p>
    <w:p w14:paraId="3C76C4E9">
      <w:pPr>
        <w:pStyle w:val="44"/>
      </w:pPr>
      <w:r>
        <w:t xml:space="preserve">Блок «Направление входящее» представлен на рисунке </w:t>
      </w:r>
      <w:r>
        <w:fldChar w:fldCharType="begin"/>
      </w:r>
      <w:r>
        <w:instrText xml:space="preserve"> REF  _Ref156902067 \h\#\0   \* MERGEFORMAT </w:instrText>
      </w:r>
      <w:r>
        <w:fldChar w:fldCharType="separate"/>
      </w:r>
      <w:r>
        <w:t>69</w:t>
      </w:r>
      <w:r>
        <w:fldChar w:fldCharType="end"/>
      </w:r>
      <w:r>
        <w:t>.</w:t>
      </w:r>
    </w:p>
    <w:p w14:paraId="3637DA4A">
      <w:pPr>
        <w:pStyle w:val="48"/>
      </w:pPr>
      <w:r>
        <w:drawing>
          <wp:inline distT="0" distB="0" distL="0" distR="0">
            <wp:extent cx="6106795" cy="4230370"/>
            <wp:effectExtent l="19050" t="19050" r="27305" b="17780"/>
            <wp:docPr id="131136557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36557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037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36CE082">
      <w:pPr>
        <w:pStyle w:val="49"/>
      </w:pPr>
      <w:bookmarkStart w:id="407" w:name="_Ref156902067"/>
      <w:r>
        <w:rPr>
          <w:iCs w:val="0"/>
        </w:rPr>
        <w:t xml:space="preserve">Рисунок </w:t>
      </w:r>
      <w:r>
        <w:rPr>
          <w:iCs w:val="0"/>
        </w:rPr>
        <w:fldChar w:fldCharType="begin"/>
      </w:r>
      <w:r>
        <w:rPr>
          <w:iCs w:val="0"/>
        </w:rPr>
        <w:instrText xml:space="preserve"> SEQ Рисунок \* ARABIC </w:instrText>
      </w:r>
      <w:r>
        <w:rPr>
          <w:iCs w:val="0"/>
        </w:rPr>
        <w:fldChar w:fldCharType="separate"/>
      </w:r>
      <w:r>
        <w:rPr>
          <w:iCs w:val="0"/>
        </w:rPr>
        <w:t>69</w:t>
      </w:r>
      <w:r>
        <w:rPr>
          <w:iCs w:val="0"/>
        </w:rPr>
        <w:fldChar w:fldCharType="end"/>
      </w:r>
      <w:bookmarkEnd w:id="407"/>
      <w:r>
        <w:rPr>
          <w:iCs w:val="0"/>
        </w:rPr>
        <w:t xml:space="preserve"> — Создание АМБ. Подраздел «АМБ». Блок</w:t>
      </w:r>
      <w:r>
        <w:t xml:space="preserve"> «Направление входящее»</w:t>
      </w:r>
    </w:p>
    <w:p w14:paraId="72EDA81A">
      <w:pPr>
        <w:pStyle w:val="44"/>
      </w:pPr>
      <w:r>
        <w:t>Блок «Направление входящее» содержит следующий набор полей:</w:t>
      </w:r>
    </w:p>
    <w:p w14:paraId="2256D539">
      <w:pPr>
        <w:pStyle w:val="51"/>
      </w:pPr>
      <w:r>
        <w:t>«Вид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783EB535">
      <w:pPr>
        <w:pStyle w:val="51"/>
      </w:pPr>
      <w:r>
        <w:t>«Номер направления» — обязательное поле, заполняется вручную;</w:t>
      </w:r>
    </w:p>
    <w:p w14:paraId="18BAB9BA">
      <w:pPr>
        <w:pStyle w:val="51"/>
      </w:pPr>
      <w:r>
        <w:t>«Дата направления» — обязательное поле, дата в формате дд.мм.гггг;</w:t>
      </w:r>
    </w:p>
    <w:p w14:paraId="4E73D7A1">
      <w:pPr>
        <w:pStyle w:val="51"/>
      </w:pPr>
      <w:r>
        <w:t>«Тип организации выдавшей направление» — обязательное поле, заполняется выбором значения из раскрывающегося списка;</w:t>
      </w:r>
    </w:p>
    <w:p w14:paraId="729EAE02">
      <w:pPr>
        <w:pStyle w:val="51"/>
      </w:pPr>
      <w:r>
        <w:t>«Диагноз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5CB354BA">
      <w:pPr>
        <w:pStyle w:val="51"/>
      </w:pPr>
      <w:r>
        <w:t>«ИД электронного направления во внешней системе»;</w:t>
      </w:r>
    </w:p>
    <w:p w14:paraId="66C6516A">
      <w:pPr>
        <w:pStyle w:val="51"/>
      </w:pPr>
      <w:r>
        <w:t>«Номер версии электронного направления во внешн. системе»;</w:t>
      </w:r>
    </w:p>
    <w:p w14:paraId="612E3449">
      <w:pPr>
        <w:pStyle w:val="51"/>
      </w:pPr>
      <w:r>
        <w:t>«Внешняя система источник оригинала электронного документа».</w:t>
      </w:r>
    </w:p>
    <w:p w14:paraId="4498BA1F">
      <w:pPr>
        <w:pStyle w:val="44"/>
      </w:pPr>
      <w:r>
        <w:t>Блок «ЗНО» содержит поле:</w:t>
      </w:r>
    </w:p>
    <w:p w14:paraId="32291CCA">
      <w:pPr>
        <w:pStyle w:val="51"/>
      </w:pPr>
      <w:r>
        <w:t>«Вид направления (ЗНО)» — обязательное поле при диагнозе ЗНО, заполняется выбором значения из раскрывающегося справочника;</w:t>
      </w:r>
    </w:p>
    <w:p w14:paraId="6E424FF1">
      <w:pPr>
        <w:pStyle w:val="51"/>
      </w:pPr>
      <w:r>
        <w:t>«Метод диагностического исследования»;</w:t>
      </w:r>
    </w:p>
    <w:p w14:paraId="0101B33C">
      <w:pPr>
        <w:pStyle w:val="51"/>
      </w:pPr>
      <w:r>
        <w:t>«Услуга по НМУ».</w:t>
      </w:r>
    </w:p>
    <w:p w14:paraId="06D91B30">
      <w:pPr>
        <w:pStyle w:val="44"/>
      </w:pPr>
      <w:r>
        <w:t>Блок «Профиль» содержит обязательное поле для указания «Профиля медицинской помощи» и заполняется выбором значения из раскрывающегося справочника согласно виду направления, указанному в поле «Вид направления». При выборе вида направления СпМП или ВМП отображается блок «Талон» содержит следующий набор полей:</w:t>
      </w:r>
    </w:p>
    <w:p w14:paraId="51F4B02B">
      <w:pPr>
        <w:pStyle w:val="51"/>
      </w:pPr>
      <w:r>
        <w:t>«Номер талона»;</w:t>
      </w:r>
    </w:p>
    <w:p w14:paraId="33173026">
      <w:pPr>
        <w:pStyle w:val="51"/>
      </w:pPr>
      <w:r>
        <w:t>«Дата оформления талона»;</w:t>
      </w:r>
    </w:p>
    <w:p w14:paraId="17CDAA6C">
      <w:pPr>
        <w:pStyle w:val="51"/>
      </w:pPr>
      <w:r>
        <w:t>Кнопка «Просмотр.</w:t>
      </w:r>
    </w:p>
    <w:p w14:paraId="1454464A">
      <w:pPr>
        <w:pStyle w:val="44"/>
      </w:pPr>
      <w:r>
        <w:t>Блок «Оплата» содержит поле:</w:t>
      </w:r>
    </w:p>
    <w:p w14:paraId="00194B52">
      <w:pPr>
        <w:pStyle w:val="51"/>
      </w:pPr>
      <w:r>
        <w:t>«Вид оплаты»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656B325F">
      <w:pPr>
        <w:pStyle w:val="51"/>
      </w:pPr>
      <w:r>
        <w:t>«Исключить из счета» — указать признак, установив флаг в поле для исключения из</w:t>
      </w:r>
      <w:r>
        <w:rPr>
          <w:lang w:val="en-US"/>
        </w:rPr>
        <w:t> </w:t>
      </w:r>
      <w:r>
        <w:t>счета.</w:t>
      </w:r>
    </w:p>
    <w:p w14:paraId="5C785F72">
      <w:pPr>
        <w:pStyle w:val="40"/>
      </w:pPr>
      <w:r>
        <w:t>Диагнозы</w:t>
      </w:r>
    </w:p>
    <w:p w14:paraId="10F28656">
      <w:pPr>
        <w:pStyle w:val="44"/>
      </w:pPr>
      <w:r>
        <w:t xml:space="preserve">В разделе «Диагнозы» (рис. </w:t>
      </w:r>
      <w:r>
        <w:fldChar w:fldCharType="begin"/>
      </w:r>
      <w:r>
        <w:instrText xml:space="preserve"> REF  _Ref152693751 \h\#\0 \* MERGEFORMAT </w:instrText>
      </w:r>
      <w:r>
        <w:fldChar w:fldCharType="separate"/>
      </w:r>
      <w:r>
        <w:t>70</w:t>
      </w:r>
      <w:r>
        <w:fldChar w:fldCharType="end"/>
      </w:r>
      <w:r>
        <w:t>) осуществляется ввод сведений о диагнозах.</w:t>
      </w:r>
    </w:p>
    <w:p w14:paraId="431856A0">
      <w:pPr>
        <w:pStyle w:val="44"/>
      </w:pPr>
      <w:r>
        <w:t>Поля «Тип диагноза», «Код диагноза» обязательны для заполнения.</w:t>
      </w:r>
    </w:p>
    <w:p w14:paraId="6AAE09B9">
      <w:pPr>
        <w:pStyle w:val="48"/>
      </w:pPr>
      <w:r>
        <w:drawing>
          <wp:inline distT="0" distB="0" distL="0" distR="0">
            <wp:extent cx="6119495" cy="1169035"/>
            <wp:effectExtent l="19050" t="19050" r="14605" b="12065"/>
            <wp:docPr id="10753154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15414" name="Рисунок 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690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FA33536">
      <w:pPr>
        <w:pStyle w:val="49"/>
      </w:pPr>
      <w:bookmarkStart w:id="408" w:name="_Ref1526937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70</w:t>
      </w:r>
      <w:r>
        <w:fldChar w:fldCharType="end"/>
      </w:r>
      <w:bookmarkEnd w:id="408"/>
      <w:r>
        <w:t xml:space="preserve"> — Создание АМБ. Диагнозы</w:t>
      </w:r>
    </w:p>
    <w:p w14:paraId="733D33A7">
      <w:pPr>
        <w:pStyle w:val="44"/>
      </w:pPr>
      <w:r>
        <w:t>Блок «Диагнозы» содержит следующий набор полей:</w:t>
      </w:r>
    </w:p>
    <w:p w14:paraId="0DF3821C">
      <w:pPr>
        <w:pStyle w:val="51"/>
      </w:pPr>
      <w:r>
        <w:t>«Тип диагноза»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51D32A23">
      <w:pPr>
        <w:pStyle w:val="51"/>
      </w:pPr>
      <w:r>
        <w:t>«Код диагноза»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списка;</w:t>
      </w:r>
    </w:p>
    <w:p w14:paraId="2D0462DF">
      <w:pPr>
        <w:pStyle w:val="51"/>
      </w:pPr>
      <w:r>
        <w:t>«Характер заболевания»;</w:t>
      </w:r>
    </w:p>
    <w:p w14:paraId="3A4101BC">
      <w:pPr>
        <w:pStyle w:val="51"/>
      </w:pPr>
      <w:r>
        <w:t>«Вид травмы»;</w:t>
      </w:r>
    </w:p>
    <w:p w14:paraId="1C51DCE8">
      <w:pPr>
        <w:pStyle w:val="51"/>
      </w:pPr>
      <w:r>
        <w:t>«Статус диспансерного учета»</w:t>
      </w:r>
      <w:r>
        <w:rPr>
          <w:lang w:val="en-US"/>
        </w:rPr>
        <w:t>;</w:t>
      </w:r>
    </w:p>
    <w:p w14:paraId="0B94663C">
      <w:pPr>
        <w:pStyle w:val="51"/>
      </w:pPr>
      <w:r>
        <w:t>«Причина прекращения диспансерного наблюдения».</w:t>
      </w:r>
    </w:p>
    <w:p w14:paraId="5722B6E1">
      <w:pPr>
        <w:pStyle w:val="40"/>
      </w:pPr>
      <w:r>
        <w:t>Посещения/Диагностика</w:t>
      </w:r>
    </w:p>
    <w:p w14:paraId="69CEC095">
      <w:pPr>
        <w:pStyle w:val="44"/>
      </w:pPr>
      <w:r>
        <w:t xml:space="preserve">СЭФД АМБ должен содержать хотя бы одно посещение. Сведения о диагностических исследованиях вносятся в привязке к сведениям о посещении (рис. </w:t>
      </w:r>
      <w:r>
        <w:fldChar w:fldCharType="begin"/>
      </w:r>
      <w:r>
        <w:instrText xml:space="preserve"> REF  _Ref156902421 \h \t\#\0 \* MERGEFORMAT </w:instrText>
      </w:r>
      <w:r>
        <w:fldChar w:fldCharType="separate"/>
      </w:r>
      <w:r>
        <w:t>73</w:t>
      </w:r>
      <w:r>
        <w:fldChar w:fldCharType="end"/>
      </w:r>
      <w:r>
        <w:t>).</w:t>
      </w:r>
    </w:p>
    <w:p w14:paraId="3BBF1515">
      <w:pPr>
        <w:pStyle w:val="44"/>
      </w:pPr>
      <w:r>
        <w:t xml:space="preserve">Внесение сведений о посещении осуществляется в разделе «Посещения/Диагностика» (рис. </w:t>
      </w:r>
      <w:r>
        <w:fldChar w:fldCharType="begin"/>
      </w:r>
      <w:r>
        <w:instrText xml:space="preserve"> REF  _Ref152693794 \h\#\0 \* MERGEFORMAT </w:instrText>
      </w:r>
      <w:r>
        <w:fldChar w:fldCharType="separate"/>
      </w:r>
      <w:r>
        <w:t>71</w:t>
      </w:r>
      <w:r>
        <w:fldChar w:fldCharType="end"/>
      </w:r>
      <w:r>
        <w:t>). Для</w:t>
      </w:r>
      <w:r>
        <w:rPr>
          <w:lang w:val="en-US"/>
        </w:rPr>
        <w:t> </w:t>
      </w:r>
      <w:r>
        <w:t>внесения сведений нажать кнопку «+ Добавить посещение».</w:t>
      </w:r>
    </w:p>
    <w:p w14:paraId="1B0E3FCF">
      <w:pPr>
        <w:pStyle w:val="49"/>
        <w:ind w:left="0"/>
        <w:rPr>
          <w:lang w:eastAsia="ru-RU"/>
        </w:rPr>
      </w:pPr>
      <w:r>
        <w:rPr>
          <w14:ligatures w14:val="standardContextual"/>
        </w:rPr>
        <w:drawing>
          <wp:inline distT="0" distB="0" distL="0" distR="0">
            <wp:extent cx="6119495" cy="2353945"/>
            <wp:effectExtent l="19050" t="19050" r="14605" b="27305"/>
            <wp:docPr id="9753102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310208" name="Рисунок 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539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096784">
      <w:pPr>
        <w:pStyle w:val="49"/>
      </w:pPr>
      <w:bookmarkStart w:id="409" w:name="_Ref1526937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71</w:t>
      </w:r>
      <w:r>
        <w:fldChar w:fldCharType="end"/>
      </w:r>
      <w:bookmarkEnd w:id="409"/>
      <w:r>
        <w:t xml:space="preserve"> — Создание АМБ, раздел «Посещения»</w:t>
      </w:r>
    </w:p>
    <w:p w14:paraId="27D52B4A">
      <w:pPr>
        <w:pStyle w:val="44"/>
      </w:pPr>
      <w:r>
        <w:t xml:space="preserve">Откроется форма «Добавить посещение» (рис. </w:t>
      </w:r>
      <w:r>
        <w:fldChar w:fldCharType="begin"/>
      </w:r>
      <w:r>
        <w:instrText xml:space="preserve"> REF  _Ref156902378 \h\#\0   \* MERGEFORMAT </w:instrText>
      </w:r>
      <w:r>
        <w:fldChar w:fldCharType="separate"/>
      </w:r>
      <w:r>
        <w:t>72</w:t>
      </w:r>
      <w:r>
        <w:fldChar w:fldCharType="end"/>
      </w:r>
      <w:r>
        <w:t>).</w:t>
      </w:r>
    </w:p>
    <w:p w14:paraId="3B630D9F">
      <w:pPr>
        <w:pStyle w:val="48"/>
      </w:pPr>
      <w:r>
        <w:rPr>
          <w14:ligatures w14:val="standardContextual"/>
        </w:rPr>
        <w:drawing>
          <wp:inline distT="0" distB="0" distL="0" distR="0">
            <wp:extent cx="3897630" cy="3214370"/>
            <wp:effectExtent l="19050" t="19050" r="26670" b="24130"/>
            <wp:docPr id="10618633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63344" name="Рисунок 1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938703" cy="324831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8669DF">
      <w:pPr>
        <w:pStyle w:val="49"/>
      </w:pPr>
      <w:bookmarkStart w:id="410" w:name="_Ref1569023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72</w:t>
      </w:r>
      <w:r>
        <w:fldChar w:fldCharType="end"/>
      </w:r>
      <w:bookmarkEnd w:id="410"/>
      <w:r>
        <w:t xml:space="preserve"> — Внесение сведений о движениях по отделениям</w:t>
      </w:r>
    </w:p>
    <w:p w14:paraId="52473CD2">
      <w:pPr>
        <w:pStyle w:val="44"/>
      </w:pPr>
      <w:r>
        <w:t>Поля: «Дата посещения/диагностики», «Первичное/повторное», «Место оказания МП» — обязательны для заполнения;</w:t>
      </w:r>
    </w:p>
    <w:p w14:paraId="2F2F4D17">
      <w:pPr>
        <w:pStyle w:val="44"/>
      </w:pPr>
      <w:r>
        <w:t>Поля «Телемедицинские технологии», «Транспортировка пациента в МО», «Расстояние транспортировки» заполняются опционально.</w:t>
      </w:r>
    </w:p>
    <w:p w14:paraId="44AD2CEB">
      <w:pPr>
        <w:pStyle w:val="44"/>
      </w:pPr>
      <w:r>
        <w:t>Блок «Мед. Работники» содержит следующие поля:</w:t>
      </w:r>
    </w:p>
    <w:p w14:paraId="42A10ABD">
      <w:pPr>
        <w:pStyle w:val="51"/>
        <w:rPr>
          <w:lang w:eastAsia="en-US"/>
        </w:rPr>
      </w:pPr>
      <w:r>
        <w:rPr>
          <w:lang w:eastAsia="en-US"/>
        </w:rPr>
        <w:t xml:space="preserve">«Основной исполнитель» — </w:t>
      </w:r>
      <w:r>
        <w:t>обязательное поле, заполняется выбором значения в</w:t>
      </w:r>
      <w:r>
        <w:rPr>
          <w:lang w:val="en-US"/>
        </w:rPr>
        <w:t> </w:t>
      </w:r>
      <w:r>
        <w:t>раскрывающемся справочнике;</w:t>
      </w:r>
    </w:p>
    <w:p w14:paraId="3725C68F">
      <w:pPr>
        <w:pStyle w:val="51"/>
        <w:rPr>
          <w:lang w:eastAsia="en-US"/>
        </w:rPr>
      </w:pPr>
      <w:r>
        <w:t>«Занятость мед.работника» — заполняется выбором значения в раскрывающемся справочнике. Отображается после нажатия кнопки «+Добавить».</w:t>
      </w:r>
    </w:p>
    <w:p w14:paraId="3F3F23E1">
      <w:pPr>
        <w:pStyle w:val="44"/>
      </w:pPr>
      <w:r>
        <w:t>Блок «Диагнозы» содержит следующие поля:</w:t>
      </w:r>
    </w:p>
    <w:p w14:paraId="745056F6">
      <w:pPr>
        <w:pStyle w:val="51"/>
      </w:pPr>
      <w:r>
        <w:t>«Тип диагноза»</w:t>
      </w:r>
      <w:r>
        <w:rPr>
          <w:lang w:eastAsia="en-US"/>
        </w:rPr>
        <w:t xml:space="preserve"> — </w:t>
      </w:r>
      <w:r>
        <w:t>обязательное поле, заполняется выбором значения в</w:t>
      </w:r>
      <w:r>
        <w:rPr>
          <w:lang w:val="en-US"/>
        </w:rPr>
        <w:t> </w:t>
      </w:r>
      <w:r>
        <w:t>раскрывающемся справочнике;</w:t>
      </w:r>
    </w:p>
    <w:p w14:paraId="49250E9B">
      <w:pPr>
        <w:pStyle w:val="51"/>
      </w:pPr>
      <w:r>
        <w:t>«Код диагноза»</w:t>
      </w:r>
      <w:r>
        <w:rPr>
          <w:lang w:eastAsia="en-US"/>
        </w:rPr>
        <w:t xml:space="preserve"> — </w:t>
      </w:r>
      <w:r>
        <w:t>обязательное поле, заполняется выбором значения в</w:t>
      </w:r>
      <w:r>
        <w:rPr>
          <w:lang w:val="en-US"/>
        </w:rPr>
        <w:t> </w:t>
      </w:r>
      <w:r>
        <w:t>раскрывающемся справочнике;</w:t>
      </w:r>
    </w:p>
    <w:p w14:paraId="2DAE383C">
      <w:pPr>
        <w:pStyle w:val="51"/>
      </w:pPr>
      <w:r>
        <w:t>«Характер заболевания»</w:t>
      </w:r>
      <w:r>
        <w:rPr>
          <w:lang w:eastAsia="en-US"/>
        </w:rPr>
        <w:t xml:space="preserve"> — </w:t>
      </w:r>
      <w:r>
        <w:t>обязательное поле, заполняется выбором значения в</w:t>
      </w:r>
      <w:r>
        <w:rPr>
          <w:lang w:val="en-US"/>
        </w:rPr>
        <w:t> </w:t>
      </w:r>
      <w:r>
        <w:t>раскрывающемся справочнике;</w:t>
      </w:r>
    </w:p>
    <w:p w14:paraId="0C738B74">
      <w:pPr>
        <w:pStyle w:val="51"/>
      </w:pPr>
      <w:r>
        <w:t xml:space="preserve">«Вид травмы» </w:t>
      </w:r>
      <w:r>
        <w:rPr>
          <w:lang w:eastAsia="en-US"/>
        </w:rPr>
        <w:t xml:space="preserve">— </w:t>
      </w:r>
      <w:r>
        <w:t>поле заполняется выбором значения в раскрывающемся справочнике</w:t>
      </w:r>
    </w:p>
    <w:p w14:paraId="0FB02D2B">
      <w:pPr>
        <w:pStyle w:val="51"/>
      </w:pPr>
      <w:r>
        <w:t>«Вид оплаты» — обязательное поле. По умолчанию предустановлено значение «1 – ОМС». Поле редактируемое, заполняется выбором значения из раскрывающегося Классификатора видов оплаты 1.2.643.5.1.13.2.1.1.528.</w:t>
      </w:r>
    </w:p>
    <w:p w14:paraId="74C17627">
      <w:pPr>
        <w:pStyle w:val="44"/>
      </w:pPr>
      <w:r>
        <w:t>Возможен ввод нескольких диагнозов по кнопке «+Добавить».</w:t>
      </w:r>
    </w:p>
    <w:p w14:paraId="3CDEA477">
      <w:pPr>
        <w:pStyle w:val="44"/>
      </w:pPr>
      <w:r>
        <w:t>Для исключения из счета регистрируемого случая указать признак «Исключить из счета».</w:t>
      </w:r>
    </w:p>
    <w:p w14:paraId="44582B18">
      <w:pPr>
        <w:pStyle w:val="44"/>
      </w:pPr>
      <w:r>
        <w:t>Для сохранения введенных данных нажать кнопку «Сохранить».</w:t>
      </w:r>
    </w:p>
    <w:p w14:paraId="057A0499">
      <w:pPr>
        <w:pStyle w:val="44"/>
      </w:pPr>
      <w:r>
        <w:t>После сохранения данных в верхней части в списке посещений отобразится запись, содержащая внесенные сведения о посещении.</w:t>
      </w:r>
    </w:p>
    <w:p w14:paraId="350F22FF">
      <w:pPr>
        <w:pStyle w:val="44"/>
      </w:pPr>
      <w:r>
        <w:t>Для редактирования сведений о посещении дважды нажать на поле, внести необходимые изменения и нажать кнопку «Сохранить».</w:t>
      </w:r>
    </w:p>
    <w:p w14:paraId="20BE5A12">
      <w:pPr>
        <w:pStyle w:val="44"/>
      </w:pPr>
      <w:r>
        <w:t xml:space="preserve">Для удаления записи о посещении выбрать посещение, нажав на строку, содержащую сведения о нем, установив флаг в поле выбора элементов списка, и нажать кнопку «Удалить» (рис. </w:t>
      </w:r>
      <w:r>
        <w:fldChar w:fldCharType="begin"/>
      </w:r>
      <w:r>
        <w:instrText xml:space="preserve"> REF  _Ref156902421 \h\#\0   \* MERGEFORMAT </w:instrText>
      </w:r>
      <w:r>
        <w:fldChar w:fldCharType="separate"/>
      </w:r>
      <w:r>
        <w:t>73</w:t>
      </w:r>
      <w:r>
        <w:fldChar w:fldCharType="end"/>
      </w:r>
      <w:r>
        <w:t>).</w:t>
      </w:r>
    </w:p>
    <w:p w14:paraId="019E04A0">
      <w:pPr>
        <w:pStyle w:val="49"/>
        <w:ind w:left="0"/>
        <w:rPr>
          <w:lang w:eastAsia="ru-RU"/>
        </w:rPr>
      </w:pPr>
      <w:r>
        <w:drawing>
          <wp:inline distT="0" distB="0" distL="114300" distR="114300">
            <wp:extent cx="6111875" cy="2957195"/>
            <wp:effectExtent l="19050" t="19050" r="22225" b="14605"/>
            <wp:docPr id="12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9"/>
                    <pic:cNvPicPr>
                      <a:picLocks noChangeAspect="1"/>
                    </pic:cNvPicPr>
                  </pic:nvPicPr>
                  <pic:blipFill>
                    <a:blip r:embed="rId100"/>
                    <a:srcRect t="1507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295767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BBA29C">
      <w:pPr>
        <w:pStyle w:val="49"/>
      </w:pPr>
      <w:bookmarkStart w:id="411" w:name="_Ref15690242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73</w:t>
      </w:r>
      <w:r>
        <w:fldChar w:fldCharType="end"/>
      </w:r>
      <w:bookmarkEnd w:id="411"/>
      <w:r>
        <w:t xml:space="preserve"> — АМБ. Посещения/Диагностика. Добавление услуг или удаление записи о посещении</w:t>
      </w:r>
    </w:p>
    <w:p w14:paraId="655A0393">
      <w:pPr>
        <w:pStyle w:val="44"/>
      </w:pPr>
      <w:r>
        <w:t>Выбранное посещение подсвечивается голубым цветом и активируется кнопка «+ Добавить» в блоке о посещении.</w:t>
      </w:r>
    </w:p>
    <w:p w14:paraId="4948147D">
      <w:pPr>
        <w:pStyle w:val="44"/>
      </w:pPr>
      <w:r>
        <w:t>Блок сведений о посещении содержит следующие вкладки:</w:t>
      </w:r>
    </w:p>
    <w:p w14:paraId="6D46E370">
      <w:pPr>
        <w:pStyle w:val="51"/>
        <w:rPr>
          <w:lang w:eastAsia="en-US"/>
        </w:rPr>
      </w:pPr>
      <w:r>
        <w:rPr>
          <w:lang w:eastAsia="en-US"/>
        </w:rPr>
        <w:t xml:space="preserve">«Услуги» — </w:t>
      </w:r>
      <w:r>
        <w:t>клинико-статистическая группа</w:t>
      </w:r>
      <w:r>
        <w:rPr>
          <w:lang w:eastAsia="en-US"/>
        </w:rPr>
        <w:t>;</w:t>
      </w:r>
    </w:p>
    <w:p w14:paraId="53902C55">
      <w:pPr>
        <w:pStyle w:val="51"/>
        <w:rPr>
          <w:lang w:eastAsia="en-US"/>
        </w:rPr>
      </w:pPr>
      <w:r>
        <w:rPr>
          <w:lang w:eastAsia="en-US"/>
        </w:rPr>
        <w:t>«ЗНО: противопоказания»;</w:t>
      </w:r>
    </w:p>
    <w:p w14:paraId="5D01A167">
      <w:pPr>
        <w:pStyle w:val="51"/>
        <w:rPr>
          <w:lang w:eastAsia="en-US"/>
        </w:rPr>
      </w:pPr>
      <w:r>
        <w:rPr>
          <w:lang w:eastAsia="en-US"/>
        </w:rPr>
        <w:t>«ЗНО: исследования»;</w:t>
      </w:r>
    </w:p>
    <w:p w14:paraId="2299D52B">
      <w:pPr>
        <w:pStyle w:val="51"/>
        <w:rPr>
          <w:lang w:eastAsia="en-US"/>
        </w:rPr>
      </w:pPr>
      <w:r>
        <w:rPr>
          <w:lang w:eastAsia="en-US"/>
        </w:rPr>
        <w:t>«ЗНО: услуги»;</w:t>
      </w:r>
    </w:p>
    <w:p w14:paraId="0293A9EB">
      <w:pPr>
        <w:pStyle w:val="51"/>
        <w:rPr>
          <w:lang w:eastAsia="en-US"/>
        </w:rPr>
      </w:pPr>
      <w:r>
        <w:rPr>
          <w:lang w:eastAsia="en-US"/>
        </w:rPr>
        <w:t>«Лекарственные препараты».</w:t>
      </w:r>
    </w:p>
    <w:p w14:paraId="75EA40EF">
      <w:pPr>
        <w:pStyle w:val="44"/>
      </w:pPr>
      <w:r>
        <w:t>Для регистрации сведений выбрать вкладку и нажать кнопку «+ Добавить».</w:t>
      </w:r>
    </w:p>
    <w:p w14:paraId="36CA033E">
      <w:pPr>
        <w:pStyle w:val="44"/>
      </w:pPr>
      <w:r>
        <w:t xml:space="preserve">Формы для внесения данных представлены на рисунках </w:t>
      </w:r>
      <w:r>
        <w:fldChar w:fldCharType="begin"/>
      </w:r>
      <w:r>
        <w:instrText xml:space="preserve"> REF  _Ref152694062 \h\#\0\ \* MERGEFORMAT </w:instrText>
      </w:r>
      <w:r>
        <w:fldChar w:fldCharType="separate"/>
      </w:r>
      <w:r>
        <w:t xml:space="preserve">74 </w:t>
      </w:r>
      <w:r>
        <w:fldChar w:fldCharType="end"/>
      </w:r>
      <w:r>
        <w:t>–</w:t>
      </w:r>
      <w:r>
        <w:fldChar w:fldCharType="begin"/>
      </w:r>
      <w:r>
        <w:instrText xml:space="preserve"> REF  _Ref152694079 \h\#\0 \* MERGEFORMAT </w:instrText>
      </w:r>
      <w:r>
        <w:fldChar w:fldCharType="separate"/>
      </w:r>
      <w:r>
        <w:t>78</w:t>
      </w:r>
      <w:r>
        <w:fldChar w:fldCharType="end"/>
      </w:r>
      <w:r>
        <w:t>.</w:t>
      </w:r>
    </w:p>
    <w:p w14:paraId="47413796">
      <w:pPr>
        <w:pStyle w:val="48"/>
      </w:pPr>
      <w:r>
        <w:drawing>
          <wp:inline distT="0" distB="0" distL="0" distR="0">
            <wp:extent cx="3959860" cy="7879715"/>
            <wp:effectExtent l="19050" t="19050" r="21590" b="26035"/>
            <wp:docPr id="6885728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572803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7879922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1D72C9">
      <w:pPr>
        <w:pStyle w:val="49"/>
      </w:pPr>
      <w:bookmarkStart w:id="412" w:name="_Ref1526940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74</w:t>
      </w:r>
      <w:r>
        <w:fldChar w:fldCharType="end"/>
      </w:r>
      <w:bookmarkEnd w:id="412"/>
      <w:r>
        <w:t xml:space="preserve"> — АМБ. Посещения/Диагностика. Услуги</w:t>
      </w:r>
    </w:p>
    <w:p w14:paraId="09CD0A4E">
      <w:pPr>
        <w:pStyle w:val="48"/>
      </w:pPr>
      <w:r>
        <w:drawing>
          <wp:inline distT="0" distB="0" distL="0" distR="0">
            <wp:extent cx="5399405" cy="1864995"/>
            <wp:effectExtent l="19050" t="19050" r="10795" b="20955"/>
            <wp:docPr id="10158698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869811" name="Рисунок 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86537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6F68C5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75</w:t>
      </w:r>
      <w:r>
        <w:fldChar w:fldCharType="end"/>
      </w:r>
      <w:r>
        <w:t xml:space="preserve"> — АМБ. Посещения/Диагностика. ЗНО: противопоказания</w:t>
      </w:r>
    </w:p>
    <w:p w14:paraId="7242CCD2">
      <w:pPr>
        <w:pStyle w:val="48"/>
      </w:pPr>
      <w:r>
        <w:drawing>
          <wp:inline distT="0" distB="0" distL="0" distR="0">
            <wp:extent cx="5399405" cy="2797175"/>
            <wp:effectExtent l="19050" t="19050" r="10795" b="22225"/>
            <wp:docPr id="714228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22835" name="Рисунок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9777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BBF98C9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76</w:t>
      </w:r>
      <w:r>
        <w:fldChar w:fldCharType="end"/>
      </w:r>
      <w:r>
        <w:t xml:space="preserve"> — АМБ. Посещения/Диагностика. ЗНО: исследования</w:t>
      </w:r>
    </w:p>
    <w:p w14:paraId="2219FED7">
      <w:pPr>
        <w:pStyle w:val="48"/>
      </w:pPr>
      <w:r>
        <w:drawing>
          <wp:inline distT="0" distB="0" distL="0" distR="0">
            <wp:extent cx="5399405" cy="3073400"/>
            <wp:effectExtent l="19050" t="19050" r="10795" b="12700"/>
            <wp:docPr id="1216854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854338" name="Рисунок 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396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5649300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77</w:t>
      </w:r>
      <w:r>
        <w:fldChar w:fldCharType="end"/>
      </w:r>
      <w:r>
        <w:t xml:space="preserve"> — АМБ. Посещения/Диагностика. ЗНО: услуги</w:t>
      </w:r>
    </w:p>
    <w:p w14:paraId="201D774B">
      <w:pPr>
        <w:pStyle w:val="48"/>
      </w:pPr>
      <w:r>
        <w:drawing>
          <wp:inline distT="0" distB="0" distL="114300" distR="114300">
            <wp:extent cx="6116955" cy="3367405"/>
            <wp:effectExtent l="19050" t="19050" r="17145" b="23495"/>
            <wp:docPr id="17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3674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3F350FA">
      <w:pPr>
        <w:pStyle w:val="49"/>
      </w:pPr>
      <w:bookmarkStart w:id="413" w:name="_Ref1526940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78</w:t>
      </w:r>
      <w:r>
        <w:fldChar w:fldCharType="end"/>
      </w:r>
      <w:bookmarkEnd w:id="413"/>
      <w:r>
        <w:t xml:space="preserve"> — АМБ. Посещения/Диагностика. Лекарственные препараты</w:t>
      </w:r>
    </w:p>
    <w:p w14:paraId="08766CBA">
      <w:pPr>
        <w:pStyle w:val="44"/>
      </w:pPr>
      <w:r>
        <w:t>После сохранения формы в блоке о посещении отображается запись с</w:t>
      </w:r>
      <w:r>
        <w:rPr>
          <w:lang w:val="en-US"/>
        </w:rPr>
        <w:t> </w:t>
      </w:r>
      <w:r>
        <w:t>зарегистрированными сведениями. Пример отображения записи, содержащей сведения о</w:t>
      </w:r>
      <w:r>
        <w:rPr>
          <w:lang w:val="en-US"/>
        </w:rPr>
        <w:t> </w:t>
      </w:r>
      <w:r>
        <w:t xml:space="preserve">посещении и оказанных услугах приведен на рисунке </w:t>
      </w:r>
      <w:r>
        <w:fldChar w:fldCharType="begin"/>
      </w:r>
      <w:r>
        <w:instrText xml:space="preserve"> REF  _Ref152674139 \h\#\0 \* MERGEFORMAT </w:instrText>
      </w:r>
      <w:r>
        <w:fldChar w:fldCharType="separate"/>
      </w:r>
      <w:r>
        <w:t>79</w:t>
      </w:r>
      <w:r>
        <w:fldChar w:fldCharType="end"/>
      </w:r>
      <w:r>
        <w:t>.</w:t>
      </w:r>
    </w:p>
    <w:p w14:paraId="7E8360A8">
      <w:pPr>
        <w:pStyle w:val="48"/>
      </w:pPr>
      <w:r>
        <w:drawing>
          <wp:inline distT="0" distB="0" distL="114300" distR="114300">
            <wp:extent cx="6115685" cy="3693795"/>
            <wp:effectExtent l="19050" t="19050" r="18415" b="20955"/>
            <wp:docPr id="18" name="Изображение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 14"/>
                    <pic:cNvPicPr>
                      <a:picLocks noChangeAspect="1"/>
                    </pic:cNvPicPr>
                  </pic:nvPicPr>
                  <pic:blipFill>
                    <a:blip r:embed="rId105"/>
                    <a:srcRect t="1488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69388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82CEF7">
      <w:pPr>
        <w:pStyle w:val="49"/>
      </w:pPr>
      <w:bookmarkStart w:id="414" w:name="_Ref1526741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79</w:t>
      </w:r>
      <w:r>
        <w:fldChar w:fldCharType="end"/>
      </w:r>
      <w:bookmarkEnd w:id="414"/>
      <w:r>
        <w:t xml:space="preserve"> — АМБ. Посещения/Диагностика. Услуги</w:t>
      </w:r>
    </w:p>
    <w:p w14:paraId="16A4AA15">
      <w:pPr>
        <w:pStyle w:val="40"/>
      </w:pPr>
      <w:r>
        <w:t>Сведения о ЗНО</w:t>
      </w:r>
    </w:p>
    <w:p w14:paraId="461DA166">
      <w:pPr>
        <w:pStyle w:val="44"/>
      </w:pPr>
      <w:r>
        <w:t>Внесение сведений о случае лечения онкологического заболевания осуществляется подразделе «Сведения о ЗНО» АМБ (рис.</w:t>
      </w:r>
      <w:r>
        <w:fldChar w:fldCharType="begin"/>
      </w:r>
      <w:r>
        <w:instrText xml:space="preserve"> REF  _Ref152695354 \h\#\0 \* MERGEFORMAT </w:instrText>
      </w:r>
      <w:r>
        <w:fldChar w:fldCharType="separate"/>
      </w:r>
      <w:r>
        <w:t>80</w:t>
      </w:r>
      <w:r>
        <w:fldChar w:fldCharType="end"/>
      </w:r>
      <w:r>
        <w:t>). Раздел обязателен для заполнения при ЗНО.</w:t>
      </w:r>
    </w:p>
    <w:p w14:paraId="78943C39">
      <w:pPr>
        <w:pStyle w:val="48"/>
      </w:pPr>
      <w:r>
        <w:drawing>
          <wp:inline distT="0" distB="0" distL="0" distR="0">
            <wp:extent cx="6119495" cy="2256155"/>
            <wp:effectExtent l="19050" t="19050" r="14605" b="10795"/>
            <wp:docPr id="934955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95579" name="Рисунок 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561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D602E4">
      <w:pPr>
        <w:pStyle w:val="49"/>
      </w:pPr>
      <w:bookmarkStart w:id="415" w:name="_Ref15269535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80</w:t>
      </w:r>
      <w:r>
        <w:fldChar w:fldCharType="end"/>
      </w:r>
      <w:bookmarkEnd w:id="415"/>
      <w:r>
        <w:t xml:space="preserve"> — Создание АМБ. Раздел «Сведения о ЗНО»</w:t>
      </w:r>
    </w:p>
    <w:p w14:paraId="0639AC3D">
      <w:pPr>
        <w:pStyle w:val="44"/>
      </w:pPr>
      <w:r>
        <w:t>Поля блока «Сведения о случае лечения онологического заболевания» заполняются выбором значений из раскрывающихся справочников.</w:t>
      </w:r>
    </w:p>
    <w:p w14:paraId="6D91579B">
      <w:pPr>
        <w:pStyle w:val="44"/>
      </w:pPr>
      <w:r>
        <w:t>Поля «Масса тела (кг)» и «Рост (см)» недоступны для редактирования. Для расчета терапии отображаются антропометрические данные, введенные на вкладке «АМБ» в поля «Вес пациента, кг» и «Рост пациента, см».</w:t>
      </w:r>
    </w:p>
    <w:p w14:paraId="7BDABF07">
      <w:pPr>
        <w:pStyle w:val="44"/>
      </w:pPr>
      <w:r>
        <w:t>Поля блока «Проведение химиолучевой или лучевой терапии»: «Суммарная очаговая доза» и «Количество фракций» заполняются вручную.</w:t>
      </w:r>
    </w:p>
    <w:p w14:paraId="11DF7B23">
      <w:pPr>
        <w:pStyle w:val="44"/>
      </w:pPr>
      <w:r>
        <w:t>Для сохранения введенных данных нажать кнопку «Сохранить».</w:t>
      </w:r>
    </w:p>
    <w:p w14:paraId="4583B07A">
      <w:pPr>
        <w:pStyle w:val="40"/>
      </w:pPr>
      <w:r>
        <w:t>Консилиум</w:t>
      </w:r>
    </w:p>
    <w:p w14:paraId="68160C17">
      <w:pPr>
        <w:pStyle w:val="44"/>
      </w:pPr>
      <w:r>
        <w:t xml:space="preserve">Внесение сведений о проведении консилиума осуществляется в подразделе «Консилиум» (рис. </w:t>
      </w:r>
      <w:r>
        <w:fldChar w:fldCharType="begin"/>
      </w:r>
      <w:r>
        <w:instrText xml:space="preserve"> REF  _Ref152752854 \h\#\0 \* MERGEFORMAT </w:instrText>
      </w:r>
      <w:r>
        <w:fldChar w:fldCharType="separate"/>
      </w:r>
      <w:r>
        <w:t>81</w:t>
      </w:r>
      <w:r>
        <w:fldChar w:fldCharType="end"/>
      </w:r>
      <w:r>
        <w:t>). Для внесения сведений нажать кнопку «+ Добавить».</w:t>
      </w:r>
    </w:p>
    <w:p w14:paraId="1125CFFB">
      <w:pPr>
        <w:pStyle w:val="48"/>
      </w:pPr>
      <w:r>
        <w:drawing>
          <wp:inline distT="0" distB="0" distL="0" distR="0">
            <wp:extent cx="6119495" cy="893445"/>
            <wp:effectExtent l="19050" t="19050" r="14605" b="20955"/>
            <wp:docPr id="1405025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02501" name="Рисунок 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934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FE092EC">
      <w:pPr>
        <w:pStyle w:val="49"/>
      </w:pPr>
      <w:bookmarkStart w:id="416" w:name="_Ref15275285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81</w:t>
      </w:r>
      <w:r>
        <w:fldChar w:fldCharType="end"/>
      </w:r>
      <w:bookmarkEnd w:id="416"/>
      <w:r>
        <w:t xml:space="preserve"> — Создание АМБ. Вкладка «Консилиум»</w:t>
      </w:r>
    </w:p>
    <w:p w14:paraId="75713DF9">
      <w:pPr>
        <w:pStyle w:val="44"/>
      </w:pPr>
      <w:r>
        <w:t>Откроется форма «Консилиум» (рис.</w:t>
      </w:r>
      <w:r>
        <w:fldChar w:fldCharType="begin"/>
      </w:r>
      <w:r>
        <w:instrText xml:space="preserve"> REF  _Ref4680458 \h\#\0 \* MERGEFORMAT </w:instrText>
      </w:r>
      <w:r>
        <w:fldChar w:fldCharType="separate"/>
      </w:r>
      <w:r>
        <w:t>60</w:t>
      </w:r>
      <w:r>
        <w:fldChar w:fldCharType="end"/>
      </w:r>
      <w:r>
        <w:t>).</w:t>
      </w:r>
    </w:p>
    <w:p w14:paraId="2E31B305">
      <w:pPr>
        <w:pStyle w:val="48"/>
      </w:pPr>
      <w:r>
        <w:drawing>
          <wp:inline distT="0" distB="0" distL="0" distR="0">
            <wp:extent cx="4319905" cy="5090795"/>
            <wp:effectExtent l="19050" t="19050" r="23495" b="14605"/>
            <wp:docPr id="14880340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34007" name="Рисунок 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09142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A3B5B1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82</w:t>
      </w:r>
      <w:r>
        <w:fldChar w:fldCharType="end"/>
      </w:r>
      <w:r>
        <w:t xml:space="preserve"> — Создание АМБ. Раздел «Консилиум»</w:t>
      </w:r>
    </w:p>
    <w:p w14:paraId="6E7E117A">
      <w:pPr>
        <w:pStyle w:val="44"/>
      </w:pPr>
      <w:r>
        <w:t>Поле «Результат консилиума» обязательно для заполнения при внесении сведений о проведенном консилиуме. Заполняется выбором значения из раскрывающегося справочника.</w:t>
      </w:r>
    </w:p>
    <w:p w14:paraId="75716EC7">
      <w:pPr>
        <w:pStyle w:val="44"/>
      </w:pPr>
      <w:r>
        <w:t>В блоке «Предоставленные медицинские документы» нажать «Добавить» и указать тип документов (при наличии), выбрав значение в раскрывающемся списке (рис.</w:t>
      </w:r>
      <w:r>
        <w:fldChar w:fldCharType="begin"/>
      </w:r>
      <w:r>
        <w:instrText xml:space="preserve"> REF  _Ref152753102 \h\#\0 \* MERGEFORMAT </w:instrText>
      </w:r>
      <w:r>
        <w:fldChar w:fldCharType="separate"/>
      </w:r>
      <w:r>
        <w:t>83</w:t>
      </w:r>
      <w:r>
        <w:fldChar w:fldCharType="end"/>
      </w:r>
      <w:r>
        <w:t>).</w:t>
      </w:r>
    </w:p>
    <w:p w14:paraId="7CB0EF1D">
      <w:pPr>
        <w:pStyle w:val="48"/>
      </w:pPr>
      <w:r>
        <w:drawing>
          <wp:inline distT="0" distB="0" distL="0" distR="0">
            <wp:extent cx="4785360" cy="4653915"/>
            <wp:effectExtent l="19050" t="19050" r="15240" b="13335"/>
            <wp:docPr id="18485939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593990" name="Рисунок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788314" cy="465664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E966DF">
      <w:pPr>
        <w:pStyle w:val="49"/>
      </w:pPr>
      <w:bookmarkStart w:id="417" w:name="_Ref1527531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83</w:t>
      </w:r>
      <w:r>
        <w:fldChar w:fldCharType="end"/>
      </w:r>
      <w:bookmarkEnd w:id="417"/>
      <w:r>
        <w:t xml:space="preserve"> — Консилиум. Выбор предоставленных медицинских документов</w:t>
      </w:r>
    </w:p>
    <w:p w14:paraId="301C4EBB">
      <w:pPr>
        <w:pStyle w:val="44"/>
      </w:pPr>
      <w:r>
        <w:t>После выбора типа документа в блоке «Предоставленные медицинские документы» отобразятся поля выбранных типов документов для ввода текста вручную (рис.</w:t>
      </w:r>
      <w:r>
        <w:fldChar w:fldCharType="begin"/>
      </w:r>
      <w:r>
        <w:instrText xml:space="preserve"> REF  _Ref152753187 \h\#\0 \* MERGEFORMAT </w:instrText>
      </w:r>
      <w:r>
        <w:fldChar w:fldCharType="separate"/>
      </w:r>
      <w:r>
        <w:t>84</w:t>
      </w:r>
      <w:r>
        <w:fldChar w:fldCharType="end"/>
      </w:r>
      <w:r>
        <w:t>).</w:t>
      </w:r>
    </w:p>
    <w:p w14:paraId="4F8FD9DD">
      <w:pPr>
        <w:pStyle w:val="48"/>
      </w:pPr>
      <w:r>
        <w:drawing>
          <wp:inline distT="0" distB="0" distL="0" distR="0">
            <wp:extent cx="3841750" cy="4565650"/>
            <wp:effectExtent l="19050" t="19050" r="25400" b="25400"/>
            <wp:docPr id="12851138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113896" name="Рисунок 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845103" cy="45700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C1CC0D">
      <w:pPr>
        <w:pStyle w:val="49"/>
      </w:pPr>
      <w:bookmarkStart w:id="418" w:name="_Ref1527531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84</w:t>
      </w:r>
      <w:r>
        <w:fldChar w:fldCharType="end"/>
      </w:r>
      <w:bookmarkEnd w:id="418"/>
      <w:r>
        <w:t xml:space="preserve"> — Консилиум. Предоставленные медицинские документы</w:t>
      </w:r>
    </w:p>
    <w:p w14:paraId="33BDEEB5">
      <w:pPr>
        <w:pStyle w:val="44"/>
      </w:pPr>
      <w:r>
        <w:t>Для сохранения внесенных сведений о проведенном консилиуме нажать «Сохранить».</w:t>
      </w:r>
    </w:p>
    <w:p w14:paraId="187B6362">
      <w:pPr>
        <w:pStyle w:val="40"/>
      </w:pPr>
      <w:r>
        <w:t>Выданные направления</w:t>
      </w:r>
    </w:p>
    <w:p w14:paraId="50A060F8">
      <w:pPr>
        <w:pStyle w:val="44"/>
      </w:pPr>
      <w:r>
        <w:t>Внесение сведений о выданных направлениях осуществляется в подразделе «Выданные направления».</w:t>
      </w:r>
    </w:p>
    <w:p w14:paraId="33B4F70A">
      <w:pPr>
        <w:pStyle w:val="44"/>
      </w:pPr>
      <w:r>
        <w:t>Для внесения сведений нажать кнопку «+ Добавить». Откроется форма регистрации выданных направлений «Добавить направление» (рис.</w:t>
      </w:r>
      <w:r>
        <w:fldChar w:fldCharType="begin"/>
      </w:r>
      <w:r>
        <w:instrText xml:space="preserve"> REF  _Ref152753681 \h\#\0 \* MERGEFORMAT </w:instrText>
      </w:r>
      <w:r>
        <w:fldChar w:fldCharType="separate"/>
      </w:r>
      <w:r>
        <w:t>85</w:t>
      </w:r>
      <w:r>
        <w:fldChar w:fldCharType="end"/>
      </w:r>
      <w:r>
        <w:t>).</w:t>
      </w:r>
    </w:p>
    <w:p w14:paraId="012525C6">
      <w:pPr>
        <w:pStyle w:val="48"/>
      </w:pPr>
      <w:r>
        <w:drawing>
          <wp:inline distT="0" distB="0" distL="0" distR="0">
            <wp:extent cx="4319905" cy="5148580"/>
            <wp:effectExtent l="19050" t="19050" r="23495" b="13970"/>
            <wp:docPr id="16775758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75869" name="Рисунок 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51487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9770A6">
      <w:pPr>
        <w:pStyle w:val="49"/>
      </w:pPr>
      <w:bookmarkStart w:id="419" w:name="_Ref1527536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85</w:t>
      </w:r>
      <w:r>
        <w:fldChar w:fldCharType="end"/>
      </w:r>
      <w:bookmarkEnd w:id="419"/>
      <w:r>
        <w:t xml:space="preserve"> — АМБ. Выданные направления. Внесение сведений о выданных направлениях</w:t>
      </w:r>
    </w:p>
    <w:p w14:paraId="05C94AFA">
      <w:pPr>
        <w:pStyle w:val="44"/>
        <w:keepNext/>
      </w:pPr>
      <w:r>
        <w:t>Форма выданного направления содержит следующие поля:</w:t>
      </w:r>
    </w:p>
    <w:p w14:paraId="164E14EA">
      <w:pPr>
        <w:pStyle w:val="51"/>
      </w:pPr>
      <w:r>
        <w:t>«Вид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справочника;</w:t>
      </w:r>
    </w:p>
    <w:p w14:paraId="4C852269">
      <w:pPr>
        <w:pStyle w:val="51"/>
      </w:pPr>
      <w:r>
        <w:t>«Номер направления» — обязательное поле, заполняется вручную;</w:t>
      </w:r>
    </w:p>
    <w:p w14:paraId="2A85E1F9">
      <w:pPr>
        <w:pStyle w:val="51"/>
      </w:pPr>
      <w:r>
        <w:t>«Дата направления» — обязательное поле, дата в формате дд.мм.гггг;</w:t>
      </w:r>
    </w:p>
    <w:p w14:paraId="6D3AE066">
      <w:pPr>
        <w:pStyle w:val="51"/>
      </w:pPr>
      <w:r>
        <w:t>«Идентификатор эл. направления во внеш. системе» — идентификатор электронного направления во внешней системе, заполняется вручную;</w:t>
      </w:r>
    </w:p>
    <w:p w14:paraId="06BFAC2F">
      <w:pPr>
        <w:pStyle w:val="51"/>
      </w:pPr>
      <w:r>
        <w:t>«№ версии эл. направления во внеш. системе» — идентификатор электронного направления во внешней системе, заполняется вручную;</w:t>
      </w:r>
    </w:p>
    <w:p w14:paraId="023D35C2">
      <w:pPr>
        <w:pStyle w:val="51"/>
      </w:pPr>
      <w:r>
        <w:t>«Внешняя система источник оригинала эл. документа» — заполняется выбором значения из раскрывающегося справочника;</w:t>
      </w:r>
    </w:p>
    <w:p w14:paraId="2ABA2595">
      <w:pPr>
        <w:pStyle w:val="51"/>
      </w:pPr>
      <w:r>
        <w:t>«Тип организации, в которую выдано направление» — обязательное поле, заполняется выбором значения из раскрывающегося справочника;</w:t>
      </w:r>
    </w:p>
    <w:p w14:paraId="42409260">
      <w:pPr>
        <w:pStyle w:val="51"/>
      </w:pPr>
      <w:r>
        <w:t>«Диагноз направления»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справочника;</w:t>
      </w:r>
    </w:p>
    <w:p w14:paraId="49542D80">
      <w:pPr>
        <w:pStyle w:val="51"/>
      </w:pPr>
      <w:r>
        <w:t>«Медработник, выдавший направление» — заполняется выбором значения из</w:t>
      </w:r>
      <w:r>
        <w:rPr>
          <w:lang w:val="en-US"/>
        </w:rPr>
        <w:t> </w:t>
      </w:r>
      <w:r>
        <w:t>раскрывающегося справочника.</w:t>
      </w:r>
    </w:p>
    <w:p w14:paraId="423C3DFC">
      <w:pPr>
        <w:pStyle w:val="44"/>
      </w:pPr>
      <w:r>
        <w:t>Блок «ЗНО» содержит поле:</w:t>
      </w:r>
    </w:p>
    <w:p w14:paraId="1C22CB42">
      <w:pPr>
        <w:pStyle w:val="51"/>
      </w:pPr>
      <w:r>
        <w:t>«Вид направления (ЗНО)» — заполняется выбором значения из раскрывающегося справочника.</w:t>
      </w:r>
    </w:p>
    <w:p w14:paraId="7DDC6D3A">
      <w:pPr>
        <w:pStyle w:val="44"/>
      </w:pPr>
      <w:r>
        <w:t>Блок «Профиль» содержит поле:</w:t>
      </w:r>
    </w:p>
    <w:p w14:paraId="0C574A80">
      <w:pPr>
        <w:pStyle w:val="51"/>
      </w:pPr>
      <w:r>
        <w:t>«Профиль мед. помощи» — заполняется выбором значения из раскрывающегося справочника.</w:t>
      </w:r>
    </w:p>
    <w:p w14:paraId="0BD1D0DE">
      <w:pPr>
        <w:pStyle w:val="44"/>
      </w:pPr>
      <w:r>
        <w:t>Для сохранения внесенных данных нажать «Сохранить».</w:t>
      </w:r>
    </w:p>
    <w:p w14:paraId="0B468940">
      <w:pPr>
        <w:pStyle w:val="44"/>
      </w:pPr>
      <w:r>
        <w:t xml:space="preserve">После сохранения СЭФД выданные (исходящие) направления отражаются в «Реестре направлений» (см. </w:t>
      </w:r>
      <w:r>
        <w:fldChar w:fldCharType="begin"/>
      </w:r>
      <w:r>
        <w:instrText xml:space="preserve"> REF _Ref155773288 \n \h  \* MERGEFORMAT </w:instrText>
      </w:r>
      <w:r>
        <w:fldChar w:fldCharType="separate"/>
      </w:r>
      <w:r>
        <w:t>4.5</w:t>
      </w:r>
      <w:r>
        <w:fldChar w:fldCharType="end"/>
      </w:r>
      <w:r>
        <w:t>). Найти созданное направление можно по номеру или виду направления.</w:t>
      </w:r>
    </w:p>
    <w:p w14:paraId="2C0C235C">
      <w:pPr>
        <w:pStyle w:val="39"/>
      </w:pPr>
      <w:bookmarkStart w:id="420" w:name="_Ref156901446"/>
      <w:bookmarkStart w:id="421" w:name="_Toc156310631"/>
      <w:bookmarkStart w:id="422" w:name="_Toc225871508"/>
      <w:bookmarkStart w:id="423" w:name="_Ref156903660"/>
      <w:bookmarkStart w:id="424" w:name="_Ref164171934"/>
      <w:r>
        <w:t>Заполнение СЭФД СМП</w:t>
      </w:r>
      <w:bookmarkEnd w:id="420"/>
      <w:bookmarkEnd w:id="421"/>
      <w:bookmarkEnd w:id="422"/>
      <w:bookmarkEnd w:id="423"/>
      <w:bookmarkEnd w:id="424"/>
    </w:p>
    <w:p w14:paraId="68B5425B">
      <w:pPr>
        <w:pStyle w:val="44"/>
      </w:pPr>
      <w:r>
        <w:t xml:space="preserve">СЭФД СМП предназначен для заведения данных о предоставленной </w:t>
      </w:r>
      <w:bookmarkStart w:id="425" w:name="_Hlk157426569"/>
      <w:r>
        <w:t>услуге вне медицинских организаций</w:t>
      </w:r>
      <w:bookmarkEnd w:id="425"/>
      <w:r>
        <w:t xml:space="preserve"> — вызов скорой медицинской помощи (СМП). Датой окончания оказания МП считается дата и время завершения вызова.</w:t>
      </w:r>
    </w:p>
    <w:p w14:paraId="0CBF9745">
      <w:pPr>
        <w:pStyle w:val="44"/>
      </w:pPr>
      <w:r>
        <w:t>После выбора вида документа «СМП» откроется форма «Создание СМП» (рис.</w:t>
      </w:r>
      <w:r>
        <w:fldChar w:fldCharType="begin"/>
      </w:r>
      <w:r>
        <w:instrText xml:space="preserve"> REF  _Ref152756222 \h\#\0 \* MERGEFORMAT </w:instrText>
      </w:r>
      <w:r>
        <w:fldChar w:fldCharType="separate"/>
      </w:r>
      <w:r>
        <w:t>86</w:t>
      </w:r>
      <w:r>
        <w:fldChar w:fldCharType="end"/>
      </w:r>
      <w:r>
        <w:t>).</w:t>
      </w:r>
    </w:p>
    <w:p w14:paraId="2D1AEF5C">
      <w:pPr>
        <w:pStyle w:val="48"/>
      </w:pPr>
      <w:r>
        <w:drawing>
          <wp:inline distT="0" distB="0" distL="0" distR="0">
            <wp:extent cx="6119495" cy="4796790"/>
            <wp:effectExtent l="19050" t="19050" r="14605" b="22860"/>
            <wp:docPr id="6702250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225079" name="Рисунок 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7967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5D6639">
      <w:pPr>
        <w:pStyle w:val="49"/>
      </w:pPr>
      <w:bookmarkStart w:id="426" w:name="_Ref1527562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86</w:t>
      </w:r>
      <w:r>
        <w:fldChar w:fldCharType="end"/>
      </w:r>
      <w:bookmarkEnd w:id="426"/>
      <w:r>
        <w:t xml:space="preserve"> — Создание СМП</w:t>
      </w:r>
    </w:p>
    <w:p w14:paraId="032795B1">
      <w:pPr>
        <w:pStyle w:val="44"/>
      </w:pPr>
      <w:r>
        <w:t xml:space="preserve">В панели фильтрации в блоке «Фильтры»» указать ЕНП пациента для идентификации по данным ФЕРЗЛ (см. </w:t>
      </w:r>
      <w:r>
        <w:fldChar w:fldCharType="begin"/>
      </w:r>
      <w:r>
        <w:instrText xml:space="preserve"> REF _Ref154569566 \n \h  \* MERGEFORMAT </w:instrText>
      </w:r>
      <w:r>
        <w:fldChar w:fldCharType="separate"/>
      </w:r>
      <w:r>
        <w:t>4.2.2.2</w:t>
      </w:r>
      <w:r>
        <w:fldChar w:fldCharType="end"/>
      </w:r>
      <w:r>
        <w:t>).</w:t>
      </w:r>
    </w:p>
    <w:p w14:paraId="20A659E1">
      <w:pPr>
        <w:pStyle w:val="44"/>
      </w:pPr>
      <w:r>
        <w:t>После вывода результатов поиска необходимо просмотреть сведения о пациенте, и</w:t>
      </w:r>
      <w:r>
        <w:rPr>
          <w:lang w:val="en-US"/>
        </w:rPr>
        <w:t> </w:t>
      </w:r>
      <w:r>
        <w:t xml:space="preserve">выбрать пациента, нажав на значок </w:t>
      </w:r>
      <w:r>
        <w:drawing>
          <wp:inline distT="0" distB="0" distL="0" distR="0">
            <wp:extent cx="190500" cy="190500"/>
            <wp:effectExtent l="19050" t="19050" r="19050" b="19050"/>
            <wp:docPr id="1690236202" name="Рисунок 1690236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236202" name="Рисунок 169023620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28D2D785">
      <w:pPr>
        <w:pStyle w:val="44"/>
      </w:pPr>
      <w:r>
        <w:t>Регистрация данных осуществляется путем заполнения разделов формы СМП. Переход в раздел выполняется выбором одноименной вкладки. Форма создания СМП (рис.</w:t>
      </w:r>
      <w:r>
        <w:fldChar w:fldCharType="begin"/>
      </w:r>
      <w:r>
        <w:instrText xml:space="preserve"> REF  _Ref152772865 \h\#\0 \* MERGEFORMAT </w:instrText>
      </w:r>
      <w:r>
        <w:fldChar w:fldCharType="separate"/>
      </w:r>
      <w:r>
        <w:t>87</w:t>
      </w:r>
      <w:r>
        <w:fldChar w:fldCharType="end"/>
      </w:r>
      <w:r>
        <w:t>) содержит следующие вкладки:</w:t>
      </w:r>
    </w:p>
    <w:p w14:paraId="3BA2DE6F">
      <w:pPr>
        <w:pStyle w:val="51"/>
      </w:pPr>
      <w:r>
        <w:t>«СМП»;</w:t>
      </w:r>
    </w:p>
    <w:p w14:paraId="723C2F59">
      <w:pPr>
        <w:pStyle w:val="51"/>
      </w:pPr>
      <w:r>
        <w:t>«Специалисты»;</w:t>
      </w:r>
    </w:p>
    <w:p w14:paraId="09F1602C">
      <w:pPr>
        <w:pStyle w:val="51"/>
      </w:pPr>
      <w:r>
        <w:t>«Диагнозы»;</w:t>
      </w:r>
    </w:p>
    <w:p w14:paraId="0C032EC3">
      <w:pPr>
        <w:pStyle w:val="51"/>
      </w:pPr>
      <w:r>
        <w:t>«Услуги на выезде»;</w:t>
      </w:r>
    </w:p>
    <w:p w14:paraId="712599D9">
      <w:pPr>
        <w:pStyle w:val="51"/>
      </w:pPr>
      <w:r>
        <w:t>«Лекарственные препараты».</w:t>
      </w:r>
    </w:p>
    <w:p w14:paraId="7F21EB56">
      <w:pPr>
        <w:pStyle w:val="44"/>
      </w:pPr>
      <w:r>
        <w:t>Вкладки «Ошибки ФЛК» и «Информационная посылка» отображаются на форме после сохранения СЭФД.</w:t>
      </w:r>
    </w:p>
    <w:p w14:paraId="55E58CAB">
      <w:pPr>
        <w:pStyle w:val="48"/>
      </w:pPr>
      <w:r>
        <w:drawing>
          <wp:inline distT="0" distB="0" distL="0" distR="0">
            <wp:extent cx="6123940" cy="1343660"/>
            <wp:effectExtent l="19050" t="19050" r="10160" b="27940"/>
            <wp:docPr id="19752829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282961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3940" cy="134366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910DE6">
      <w:pPr>
        <w:pStyle w:val="49"/>
      </w:pPr>
      <w:bookmarkStart w:id="427" w:name="_Ref1527728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87</w:t>
      </w:r>
      <w:r>
        <w:fldChar w:fldCharType="end"/>
      </w:r>
      <w:bookmarkEnd w:id="427"/>
      <w:r>
        <w:t xml:space="preserve"> — Создание СМП</w:t>
      </w:r>
    </w:p>
    <w:p w14:paraId="12CF2825">
      <w:pPr>
        <w:pStyle w:val="44"/>
      </w:pPr>
      <w:r>
        <w:t>Каждый подраздел содержит ряд полей, обязательных для заполнения.</w:t>
      </w:r>
    </w:p>
    <w:p w14:paraId="3043C306">
      <w:pPr>
        <w:pStyle w:val="44"/>
      </w:pPr>
      <w:r>
        <w:t>Некоторые из обязательных полей заполнены значениями по умолчанию (предзаполнены). Пользователю предоставлена возможность изменения заполненных по умолчанию полей выбором значений из раскрывающихся справочников.</w:t>
      </w:r>
    </w:p>
    <w:p w14:paraId="329D7DC5">
      <w:pPr>
        <w:pStyle w:val="44"/>
      </w:pPr>
      <w:r>
        <w:t>Для очистки полей формы нажать кнопку «Очистить» в панели инструментов в правом верхнем углу.</w:t>
      </w:r>
    </w:p>
    <w:p w14:paraId="5EEEB812">
      <w:pPr>
        <w:pStyle w:val="40"/>
      </w:pPr>
      <w:r>
        <w:t>СМП</w:t>
      </w:r>
    </w:p>
    <w:p w14:paraId="07186BA6">
      <w:pPr>
        <w:pStyle w:val="44"/>
      </w:pPr>
      <w:r>
        <w:t>Подраздел «СМП» состоит из блоков: «Вызов», «Бригада СМП», «Дата и время», «Обслуживание» и «ТПГГ и ПГГ» (рис.</w:t>
      </w:r>
      <w:r>
        <w:fldChar w:fldCharType="begin"/>
      </w:r>
      <w:r>
        <w:instrText xml:space="preserve"> REF  _Ref152774379 \h\#\0 \* MERGEFORMAT </w:instrText>
      </w:r>
      <w:r>
        <w:fldChar w:fldCharType="separate"/>
      </w:r>
      <w:r>
        <w:t>88</w:t>
      </w:r>
      <w:r>
        <w:fldChar w:fldCharType="end"/>
      </w:r>
      <w:r>
        <w:t>).</w:t>
      </w:r>
    </w:p>
    <w:p w14:paraId="390A1B3D">
      <w:pPr>
        <w:pStyle w:val="48"/>
      </w:pPr>
      <w:r>
        <w:drawing>
          <wp:inline distT="0" distB="0" distL="0" distR="0">
            <wp:extent cx="6119495" cy="2797175"/>
            <wp:effectExtent l="19050" t="19050" r="14605" b="22225"/>
            <wp:docPr id="6664668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466894" name="Рисунок 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971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24196D">
      <w:pPr>
        <w:pStyle w:val="49"/>
      </w:pPr>
      <w:bookmarkStart w:id="428" w:name="_Ref1527743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88</w:t>
      </w:r>
      <w:r>
        <w:fldChar w:fldCharType="end"/>
      </w:r>
      <w:bookmarkEnd w:id="428"/>
      <w:r>
        <w:t xml:space="preserve"> — Создание СМП, подраздел «СМП»</w:t>
      </w:r>
    </w:p>
    <w:p w14:paraId="324BDE98">
      <w:pPr>
        <w:pStyle w:val="44"/>
      </w:pPr>
      <w:r>
        <w:t>Блок «Вызов» содержит следующий набор полей:</w:t>
      </w:r>
    </w:p>
    <w:p w14:paraId="23A72E1C">
      <w:pPr>
        <w:pStyle w:val="51"/>
      </w:pPr>
      <w:r>
        <w:t>«Номер карты вызова» — обязательное поле. Заполняется вручную, допускается ввод только цифр и нижнего подчеркивания;</w:t>
      </w:r>
    </w:p>
    <w:p w14:paraId="5FA0A72F">
      <w:pPr>
        <w:pStyle w:val="51"/>
      </w:pPr>
      <w:r>
        <w:t>«Форма вызова» — обязательное поле, заполняется выбором значения из раскрывающегося справочника 1.2.643.5.1.13.13.11.1551;</w:t>
      </w:r>
    </w:p>
    <w:p w14:paraId="313AAD10">
      <w:pPr>
        <w:pStyle w:val="51"/>
      </w:pPr>
      <w:r>
        <w:t>«Вид вызова» — обязательное поле, заполняется выбором значения из раскрывающегося справочника 1.2.643.5.1.13.13.11.1525;</w:t>
      </w:r>
    </w:p>
    <w:p w14:paraId="330E035F">
      <w:pPr>
        <w:pStyle w:val="51"/>
      </w:pPr>
      <w:r>
        <w:t>«Направлен/доставлен в МО» — заполняется выбором значения из раскрывающегося справочника ФРМО.</w:t>
      </w:r>
    </w:p>
    <w:p w14:paraId="3BA43512">
      <w:pPr>
        <w:pStyle w:val="44"/>
      </w:pPr>
      <w:r>
        <w:t>Блок «Бригада СМП» содержит следующий набор полей:</w:t>
      </w:r>
    </w:p>
    <w:p w14:paraId="2594BA0C">
      <w:pPr>
        <w:pStyle w:val="51"/>
      </w:pPr>
      <w:r>
        <w:t>«ИД СЭМД» — заполняется вручную. Уникальный идентификатор карты вызова СМП в ЕГИСЗ;</w:t>
      </w:r>
    </w:p>
    <w:p w14:paraId="55B23546">
      <w:pPr>
        <w:pStyle w:val="51"/>
      </w:pPr>
      <w:r>
        <w:t>«Номер бригады СМП» — обязательное поле. Заполняется вручную;</w:t>
      </w:r>
    </w:p>
    <w:p w14:paraId="30B2B33F">
      <w:pPr>
        <w:pStyle w:val="51"/>
      </w:pPr>
      <w:r>
        <w:t>«Профиль бригады СМП» — обязательное поле, заполняется выбором значения из раскрывающегося справочника 1.2.643.5.1.13.13.99.2.1076;</w:t>
      </w:r>
    </w:p>
    <w:p w14:paraId="5293322E">
      <w:pPr>
        <w:pStyle w:val="51"/>
      </w:pPr>
      <w:r>
        <w:t>«Специализация бригады СМП» — поле заполняется выбором значения из</w:t>
      </w:r>
      <w:r>
        <w:rPr>
          <w:lang w:val="en-US"/>
        </w:rPr>
        <w:t> </w:t>
      </w:r>
      <w:r>
        <w:t>раскрывающегося справочника 1.2.643.5.1.13.13.99.2.1076;</w:t>
      </w:r>
    </w:p>
    <w:p w14:paraId="73F8F4AF">
      <w:pPr>
        <w:pStyle w:val="51"/>
      </w:pPr>
      <w:r>
        <w:t>«Код-марка» — данное поле обязательно для заполнения, если специализация бригады = «Авиамедицинские (только врачебные)».</w:t>
      </w:r>
    </w:p>
    <w:p w14:paraId="30CFE5F2">
      <w:pPr>
        <w:pStyle w:val="44"/>
      </w:pPr>
      <w:r>
        <w:t>Блок «Дата и время» содержит следующий набор полей:</w:t>
      </w:r>
    </w:p>
    <w:p w14:paraId="32B53EDF">
      <w:pPr>
        <w:pStyle w:val="51"/>
      </w:pPr>
      <w:r>
        <w:t>«Дата и время регистрации вызова»;</w:t>
      </w:r>
    </w:p>
    <w:p w14:paraId="6E39AF33">
      <w:pPr>
        <w:pStyle w:val="51"/>
      </w:pPr>
      <w:r>
        <w:t>«Дата и время передачи вызова бригаде»;</w:t>
      </w:r>
    </w:p>
    <w:p w14:paraId="36032E97">
      <w:pPr>
        <w:pStyle w:val="51"/>
      </w:pPr>
      <w:r>
        <w:t>«Дата и время выезда на вызов»;</w:t>
      </w:r>
    </w:p>
    <w:p w14:paraId="331F2276">
      <w:pPr>
        <w:pStyle w:val="51"/>
      </w:pPr>
      <w:r>
        <w:t>«Дата и время прибытия на место»;</w:t>
      </w:r>
    </w:p>
    <w:p w14:paraId="4C79C6E8">
      <w:pPr>
        <w:pStyle w:val="51"/>
      </w:pPr>
      <w:r>
        <w:t>«Дата и время начала транспортировки пациента»;</w:t>
      </w:r>
    </w:p>
    <w:p w14:paraId="76D09B67">
      <w:pPr>
        <w:pStyle w:val="51"/>
      </w:pPr>
      <w:r>
        <w:t>«Дата и время прибытия в МО с пациентом»;</w:t>
      </w:r>
    </w:p>
    <w:p w14:paraId="3BE6B88D">
      <w:pPr>
        <w:pStyle w:val="51"/>
      </w:pPr>
      <w:r>
        <w:t>«Дата и время возвр. на станцию (подстанцию)»</w:t>
      </w:r>
      <w:r>
        <w:rPr>
          <w:lang w:val="en-US"/>
        </w:rPr>
        <w:t>;</w:t>
      </w:r>
    </w:p>
    <w:p w14:paraId="1D42D610">
      <w:pPr>
        <w:pStyle w:val="51"/>
      </w:pPr>
      <w:r>
        <w:t>«Дата и время окончания вызова».</w:t>
      </w:r>
    </w:p>
    <w:p w14:paraId="281AD950">
      <w:pPr>
        <w:pStyle w:val="44"/>
      </w:pPr>
      <w:r>
        <w:t>Блок «Обслуживание» содержит следующий набор полей:</w:t>
      </w:r>
    </w:p>
    <w:p w14:paraId="290FA011">
      <w:pPr>
        <w:pStyle w:val="51"/>
      </w:pPr>
      <w:r>
        <w:t>«Применен тромболизис» — признак указывается простановкой флага в поле в</w:t>
      </w:r>
      <w:r>
        <w:rPr>
          <w:lang w:val="en-US"/>
        </w:rPr>
        <w:t> </w:t>
      </w:r>
      <w:r>
        <w:t>случае применения тромболизиса. При этом должны быть указаны услуги тромболизиса на вкладке «Услуги на вызове» и лекарственные препараты тромболизиса на вкладке «Лекарственные препараты»;</w:t>
      </w:r>
    </w:p>
    <w:p w14:paraId="577C6306">
      <w:pPr>
        <w:pStyle w:val="51"/>
      </w:pPr>
      <w:r>
        <w:t>«Результат вызова» — обязательное поле, заполняется выбором значения из</w:t>
      </w:r>
      <w:r>
        <w:rPr>
          <w:lang w:val="en-US"/>
        </w:rPr>
        <w:t> </w:t>
      </w:r>
      <w:r>
        <w:t>раскрывающегося справочника V009;</w:t>
      </w:r>
    </w:p>
    <w:p w14:paraId="59EFB585">
      <w:pPr>
        <w:pStyle w:val="51"/>
      </w:pPr>
      <w:r>
        <w:t>«Километраж выезда, км» — заполняется вручную. Поле не заполняется если в блоке «Бригада СМП» указана специализация бригады «14-Авиамедицинские»;</w:t>
      </w:r>
    </w:p>
    <w:p w14:paraId="5C138F13">
      <w:pPr>
        <w:pStyle w:val="51"/>
      </w:pPr>
      <w:r>
        <w:t>«Зона» — заполняется выбором значения из раскрывающегося справочника. Поле недоступно для заполнения, если установлен флаг «Применен тромболизис» или специализация «14-Авиамедицинская»;</w:t>
      </w:r>
    </w:p>
    <w:p w14:paraId="7564AAFC">
      <w:pPr>
        <w:pStyle w:val="51"/>
      </w:pPr>
      <w:r>
        <w:t>«Код причинения вреда здоровью» — заполняется выбором значения из раскрывающегося справочника;</w:t>
      </w:r>
    </w:p>
    <w:p w14:paraId="320072A5">
      <w:pPr>
        <w:pStyle w:val="51"/>
      </w:pPr>
      <w:r>
        <w:t>«Вид оплаты» — заполняется выбором значения из раскрывающегося справочника 1.2.643.5.1.13.13.11.1039;</w:t>
      </w:r>
    </w:p>
    <w:p w14:paraId="563AE966">
      <w:pPr>
        <w:pStyle w:val="44"/>
      </w:pPr>
      <w:r>
        <w:t>Признак «Подозрение на противоправные действия» — указывается простановкой флага в поле при наличии диагнозов код которых начинается с S.* или T.* и для любого типа диагноза.</w:t>
      </w:r>
    </w:p>
    <w:p w14:paraId="2CE9F4A5">
      <w:pPr>
        <w:pStyle w:val="44"/>
      </w:pPr>
      <w:r>
        <w:t>Блок «ТПГГ и ПГГ» содержит обязательное поле «ТПГГ и ПГГ». Заполняется выбором значения из выпадающего списка (код МО в системе ОМС по справочнику F032).</w:t>
      </w:r>
    </w:p>
    <w:p w14:paraId="265B395B">
      <w:pPr>
        <w:pStyle w:val="44"/>
      </w:pPr>
      <w:r>
        <w:t>Для исключения из счета регистрируемого случая указать признак «Исключить из счета».</w:t>
      </w:r>
    </w:p>
    <w:p w14:paraId="14B4229D">
      <w:pPr>
        <w:pStyle w:val="40"/>
      </w:pPr>
      <w:r>
        <w:t>Специалисты</w:t>
      </w:r>
    </w:p>
    <w:p w14:paraId="5DA0B09C">
      <w:pPr>
        <w:pStyle w:val="44"/>
      </w:pPr>
      <w:r>
        <w:t>Внесение сведений о специалистах осуществляется в разделе «Специалисты» (рис.</w:t>
      </w:r>
      <w:r>
        <w:fldChar w:fldCharType="begin"/>
      </w:r>
      <w:r>
        <w:instrText xml:space="preserve"> REF  _Ref152863712 \h\#\0 \* MERGEFORMAT </w:instrText>
      </w:r>
      <w:r>
        <w:fldChar w:fldCharType="separate"/>
      </w:r>
      <w:r>
        <w:t>89</w:t>
      </w:r>
      <w:r>
        <w:fldChar w:fldCharType="end"/>
      </w:r>
      <w:r>
        <w:t>). Для внесения сведений нажать кнопку «+ Добавить».</w:t>
      </w:r>
    </w:p>
    <w:p w14:paraId="7B1679F0">
      <w:pPr>
        <w:pStyle w:val="48"/>
      </w:pPr>
      <w:r>
        <w:drawing>
          <wp:inline distT="0" distB="0" distL="0" distR="0">
            <wp:extent cx="6119495" cy="956945"/>
            <wp:effectExtent l="19050" t="19050" r="14605" b="14605"/>
            <wp:docPr id="1050393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39389" name="Рисунок 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569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C6FFBBA">
      <w:pPr>
        <w:pStyle w:val="49"/>
      </w:pPr>
      <w:bookmarkStart w:id="429" w:name="_Ref152863712"/>
      <w:bookmarkStart w:id="430" w:name="_Ref15286371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89</w:t>
      </w:r>
      <w:r>
        <w:fldChar w:fldCharType="end"/>
      </w:r>
      <w:bookmarkEnd w:id="429"/>
      <w:r>
        <w:t xml:space="preserve"> — Создание СМП, раздел «Специалисты»</w:t>
      </w:r>
      <w:bookmarkEnd w:id="430"/>
    </w:p>
    <w:p w14:paraId="7F18F631">
      <w:pPr>
        <w:pStyle w:val="44"/>
      </w:pPr>
      <w:r>
        <w:t>Откроется форма «Добавление специалиста» (рис.</w:t>
      </w:r>
      <w:r>
        <w:fldChar w:fldCharType="begin"/>
      </w:r>
      <w:r>
        <w:instrText xml:space="preserve"> REF  _Ref152863723 \h\#\0 \* MERGEFORMAT </w:instrText>
      </w:r>
      <w:r>
        <w:fldChar w:fldCharType="separate"/>
      </w:r>
      <w:r>
        <w:t>90</w:t>
      </w:r>
      <w:r>
        <w:fldChar w:fldCharType="end"/>
      </w:r>
      <w:r>
        <w:t>).</w:t>
      </w:r>
    </w:p>
    <w:p w14:paraId="231DDA82">
      <w:pPr>
        <w:pStyle w:val="48"/>
      </w:pPr>
      <w:r>
        <w:drawing>
          <wp:inline distT="0" distB="0" distL="0" distR="0">
            <wp:extent cx="3599815" cy="1261745"/>
            <wp:effectExtent l="19050" t="19050" r="19685" b="14605"/>
            <wp:docPr id="5324879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487990" name="Рисунок 1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26179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EBA859">
      <w:pPr>
        <w:pStyle w:val="49"/>
      </w:pPr>
      <w:bookmarkStart w:id="431" w:name="_Ref15286372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90</w:t>
      </w:r>
      <w:r>
        <w:fldChar w:fldCharType="end"/>
      </w:r>
      <w:bookmarkEnd w:id="431"/>
      <w:r>
        <w:t xml:space="preserve"> — Внесение сведений о специалисте</w:t>
      </w:r>
    </w:p>
    <w:p w14:paraId="20A632C7">
      <w:pPr>
        <w:pStyle w:val="44"/>
      </w:pPr>
      <w:r>
        <w:t xml:space="preserve">Поле «Специалист» обязательное. Заполняется выбором значения из справочника ФРМО (рис. </w:t>
      </w:r>
      <w:r>
        <w:fldChar w:fldCharType="begin"/>
      </w:r>
      <w:r>
        <w:instrText xml:space="preserve"> REF  _Ref164178017 \h\#\0   \* MERGEFORMAT </w:instrText>
      </w:r>
      <w:r>
        <w:fldChar w:fldCharType="separate"/>
      </w:r>
      <w:r>
        <w:t>91</w:t>
      </w:r>
      <w:r>
        <w:fldChar w:fldCharType="end"/>
      </w:r>
      <w:r>
        <w:t>).</w:t>
      </w:r>
    </w:p>
    <w:p w14:paraId="2CB0806D">
      <w:pPr>
        <w:pStyle w:val="48"/>
      </w:pPr>
      <w:r>
        <w:drawing>
          <wp:inline distT="0" distB="0" distL="0" distR="0">
            <wp:extent cx="4679950" cy="2987040"/>
            <wp:effectExtent l="19050" t="19050" r="25400" b="22860"/>
            <wp:docPr id="9584209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420914" name="Рисунок 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9871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BB8B7AB">
      <w:pPr>
        <w:pStyle w:val="49"/>
      </w:pPr>
      <w:bookmarkStart w:id="432" w:name="_Ref1641780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91</w:t>
      </w:r>
      <w:r>
        <w:fldChar w:fldCharType="end"/>
      </w:r>
      <w:bookmarkEnd w:id="432"/>
      <w:r>
        <w:t xml:space="preserve"> — Создание СМП, Добавление специалиста</w:t>
      </w:r>
    </w:p>
    <w:p w14:paraId="22F6CAF8">
      <w:pPr>
        <w:pStyle w:val="44"/>
      </w:pPr>
      <w:r>
        <w:t>Подтвердить выбор для сохранения введенных данных нажатием кнопки «Сохранить» или отказаться от ввода данных, нажав кнопку «Отмена».</w:t>
      </w:r>
    </w:p>
    <w:p w14:paraId="70D55B4A">
      <w:pPr>
        <w:pStyle w:val="44"/>
      </w:pPr>
      <w:r>
        <w:t>После сохранения данных в табличной форме в списке специалистов отобразится запись, содержащая внесенные сведения о специалисте.</w:t>
      </w:r>
    </w:p>
    <w:p w14:paraId="03CAF4D0">
      <w:pPr>
        <w:pStyle w:val="48"/>
      </w:pPr>
      <w:r>
        <w:drawing>
          <wp:inline distT="0" distB="0" distL="114300" distR="114300">
            <wp:extent cx="6117590" cy="1890395"/>
            <wp:effectExtent l="19050" t="19050" r="16510" b="14605"/>
            <wp:docPr id="23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Изображение 17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8903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3BB57E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92</w:t>
      </w:r>
      <w:r>
        <w:fldChar w:fldCharType="end"/>
      </w:r>
      <w:r>
        <w:t xml:space="preserve"> — Создание СМП, сведения о специалистах</w:t>
      </w:r>
    </w:p>
    <w:p w14:paraId="441C25DC">
      <w:pPr>
        <w:pStyle w:val="44"/>
      </w:pPr>
      <w:r>
        <w:t>Для редактирования сведений о специалисте дважды нажать на поле, внести необходимые изменения и нажать кнопку «Сохранить».</w:t>
      </w:r>
    </w:p>
    <w:p w14:paraId="06E54C0E">
      <w:pPr>
        <w:pStyle w:val="44"/>
        <w:rPr>
          <w:lang w:val="en-US"/>
        </w:rPr>
      </w:pPr>
      <w:r>
        <w:t xml:space="preserve">Для удаления записи о специалисте выбрать строку, содержащую сведения о нем, установив флаг в поле выбора элементов списка, и нажать кнопку «Удалить» (рис. </w:t>
      </w:r>
      <w:r>
        <w:fldChar w:fldCharType="begin"/>
      </w:r>
      <w:r>
        <w:instrText xml:space="preserve"> REF  _Ref164178383 \h\#\0   \* MERGEFORMAT </w:instrText>
      </w:r>
      <w:r>
        <w:fldChar w:fldCharType="separate"/>
      </w:r>
      <w:r>
        <w:t>93</w:t>
      </w:r>
      <w:r>
        <w:fldChar w:fldCharType="end"/>
      </w:r>
      <w:r>
        <w:t>).</w:t>
      </w:r>
    </w:p>
    <w:p w14:paraId="3FB39500">
      <w:pPr>
        <w:pStyle w:val="48"/>
      </w:pPr>
      <w:r>
        <w:drawing>
          <wp:inline distT="0" distB="0" distL="114300" distR="114300">
            <wp:extent cx="6109970" cy="1910715"/>
            <wp:effectExtent l="9525" t="9525" r="22225" b="15240"/>
            <wp:docPr id="24" name="Изображение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Изображение 18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19107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40188C">
      <w:pPr>
        <w:pStyle w:val="49"/>
      </w:pPr>
      <w:bookmarkStart w:id="433" w:name="_Ref16417838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93</w:t>
      </w:r>
      <w:r>
        <w:fldChar w:fldCharType="end"/>
      </w:r>
      <w:bookmarkEnd w:id="433"/>
      <w:r>
        <w:t xml:space="preserve"> — Создание СМП, удаление записи со сведениями о специалисте</w:t>
      </w:r>
    </w:p>
    <w:p w14:paraId="25A3747A">
      <w:pPr>
        <w:pStyle w:val="40"/>
      </w:pPr>
      <w:r>
        <w:t>Диагнозы</w:t>
      </w:r>
    </w:p>
    <w:p w14:paraId="0AB8396D">
      <w:pPr>
        <w:pStyle w:val="44"/>
      </w:pPr>
      <w:r>
        <w:t>В подразделе «Диагнозы» (рис.</w:t>
      </w:r>
      <w:r>
        <w:fldChar w:fldCharType="begin"/>
      </w:r>
      <w:r>
        <w:instrText xml:space="preserve"> REF  _Ref152866680 \h\#\0 \* MERGEFORMAT </w:instrText>
      </w:r>
      <w:r>
        <w:fldChar w:fldCharType="separate"/>
      </w:r>
      <w:r>
        <w:t>94</w:t>
      </w:r>
      <w:r>
        <w:fldChar w:fldCharType="end"/>
      </w:r>
      <w:r>
        <w:t>) осуществляется ввод сведений о диагнозах. Для внесения сведений нажать кнопку «+ Добавить».</w:t>
      </w:r>
    </w:p>
    <w:p w14:paraId="1E746546">
      <w:pPr>
        <w:pStyle w:val="48"/>
      </w:pPr>
      <w:r>
        <w:drawing>
          <wp:inline distT="0" distB="0" distL="0" distR="0">
            <wp:extent cx="6119495" cy="1280795"/>
            <wp:effectExtent l="19050" t="19050" r="14605" b="14605"/>
            <wp:docPr id="16429351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935159" name="Рисунок 1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807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72496A7">
      <w:pPr>
        <w:pStyle w:val="49"/>
      </w:pPr>
      <w:bookmarkStart w:id="434" w:name="_Ref15286668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94</w:t>
      </w:r>
      <w:r>
        <w:fldChar w:fldCharType="end"/>
      </w:r>
      <w:bookmarkEnd w:id="434"/>
      <w:r>
        <w:t xml:space="preserve"> — Создание СМП. Диагнозы</w:t>
      </w:r>
    </w:p>
    <w:p w14:paraId="11B45FEF">
      <w:pPr>
        <w:pStyle w:val="44"/>
      </w:pPr>
      <w:r>
        <w:t>Блок «Диагноз» содержит следующий набор обязательных полей:</w:t>
      </w:r>
    </w:p>
    <w:p w14:paraId="4FD11071">
      <w:pPr>
        <w:pStyle w:val="51"/>
      </w:pPr>
      <w:r>
        <w:t>«Тип диагноза» — заполняется выбором значения из раскрывающегося справочника 1.2.643.5.1.13.13.11.1077. По умолчанию установлено значение «1-Основной»;</w:t>
      </w:r>
    </w:p>
    <w:p w14:paraId="227096DE">
      <w:pPr>
        <w:pStyle w:val="51"/>
      </w:pPr>
      <w:r>
        <w:t>«Код диагноза» — заполняется выбором значения из раскрывающегося справочника МКБ-10.</w:t>
      </w:r>
    </w:p>
    <w:p w14:paraId="545897FE">
      <w:pPr>
        <w:pStyle w:val="44"/>
      </w:pPr>
      <w:r>
        <w:t>После сохранения данных в верхней части в списке диагнозов отобразится запись, содержащая внесенные сведения о диагнозе.</w:t>
      </w:r>
    </w:p>
    <w:p w14:paraId="65CBC0D7">
      <w:pPr>
        <w:pStyle w:val="44"/>
      </w:pPr>
      <w:r>
        <w:t>Для редактирования сведений о диагнозе дважды нажать на поле, внести необходимые изменения и нажать кнопку «Сохранить».</w:t>
      </w:r>
    </w:p>
    <w:p w14:paraId="54B1E294">
      <w:pPr>
        <w:pStyle w:val="44"/>
      </w:pPr>
      <w:r>
        <w:t>Для удаления записи о диагнозе выбрать диагноз, нажав на строку, содержащую сведения о нем, установив флаг в поле выбора элементов списка и нажать кнопку «Удалить».</w:t>
      </w:r>
    </w:p>
    <w:p w14:paraId="474E25E0">
      <w:pPr>
        <w:pStyle w:val="40"/>
      </w:pPr>
      <w:r>
        <w:t>Услуги на выезде</w:t>
      </w:r>
    </w:p>
    <w:p w14:paraId="1C0FE19D">
      <w:pPr>
        <w:pStyle w:val="44"/>
      </w:pPr>
      <w:r>
        <w:t>Регистрация сведений об услугах на выезде осуществляется в подразделе «Услуги на</w:t>
      </w:r>
      <w:r>
        <w:rPr>
          <w:lang w:val="en-US"/>
        </w:rPr>
        <w:t> </w:t>
      </w:r>
      <w:r>
        <w:t>выезде» (рис.</w:t>
      </w:r>
      <w:r>
        <w:fldChar w:fldCharType="begin"/>
      </w:r>
      <w:r>
        <w:instrText xml:space="preserve"> REF  _Ref152949750 \h\#\0 \* MERGEFORMAT </w:instrText>
      </w:r>
      <w:r>
        <w:fldChar w:fldCharType="separate"/>
      </w:r>
      <w:r>
        <w:t>95</w:t>
      </w:r>
      <w:r>
        <w:fldChar w:fldCharType="end"/>
      </w:r>
      <w:r>
        <w:t>). Для внесения данных нажать кнопку «+ Добавить».</w:t>
      </w:r>
    </w:p>
    <w:p w14:paraId="7403A266">
      <w:pPr>
        <w:pStyle w:val="48"/>
      </w:pPr>
      <w:r>
        <w:drawing>
          <wp:inline distT="0" distB="0" distL="114300" distR="114300">
            <wp:extent cx="6119495" cy="1645285"/>
            <wp:effectExtent l="19050" t="19050" r="14605" b="12065"/>
            <wp:docPr id="26" name="Изображение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19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452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B3D72F">
      <w:pPr>
        <w:pStyle w:val="49"/>
      </w:pPr>
      <w:bookmarkStart w:id="435" w:name="_Ref1529497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95</w:t>
      </w:r>
      <w:r>
        <w:fldChar w:fldCharType="end"/>
      </w:r>
      <w:bookmarkEnd w:id="435"/>
      <w:r>
        <w:t xml:space="preserve"> — Создание СМП, раздел «Услуги на выезде»</w:t>
      </w:r>
    </w:p>
    <w:p w14:paraId="49530F46">
      <w:pPr>
        <w:pStyle w:val="44"/>
      </w:pPr>
      <w:r>
        <w:t xml:space="preserve">Откроется форма «Добавление услуги» (рис. </w:t>
      </w:r>
      <w:r>
        <w:fldChar w:fldCharType="begin"/>
      </w:r>
      <w:r>
        <w:instrText xml:space="preserve"> REF  _Ref152949751 \h\#\0 \* MERGEFORMAT </w:instrText>
      </w:r>
      <w:r>
        <w:fldChar w:fldCharType="separate"/>
      </w:r>
      <w:r>
        <w:t>96</w:t>
      </w:r>
      <w:r>
        <w:fldChar w:fldCharType="end"/>
      </w:r>
      <w:r>
        <w:t>).</w:t>
      </w:r>
    </w:p>
    <w:p w14:paraId="48618C8A">
      <w:pPr>
        <w:pStyle w:val="48"/>
      </w:pPr>
      <w:r>
        <w:drawing>
          <wp:inline distT="0" distB="0" distL="0" distR="0">
            <wp:extent cx="4556760" cy="1615440"/>
            <wp:effectExtent l="19050" t="19050" r="15240" b="22860"/>
            <wp:docPr id="3179986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998646" name="Рисунок 1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557155" cy="16155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EE8092F">
      <w:pPr>
        <w:pStyle w:val="49"/>
      </w:pPr>
      <w:bookmarkStart w:id="436" w:name="_Ref1529497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96</w:t>
      </w:r>
      <w:r>
        <w:fldChar w:fldCharType="end"/>
      </w:r>
      <w:bookmarkEnd w:id="436"/>
      <w:r>
        <w:t xml:space="preserve"> — Внесение сведений об услуге</w:t>
      </w:r>
    </w:p>
    <w:p w14:paraId="26B544BD">
      <w:pPr>
        <w:pStyle w:val="44"/>
      </w:pPr>
      <w:r>
        <w:t>Поле «Код услуги» заполняется выбором значения из справочника 1.2.643.5.1.13.13.11.1070.</w:t>
      </w:r>
    </w:p>
    <w:p w14:paraId="131AD976">
      <w:pPr>
        <w:pStyle w:val="44"/>
      </w:pPr>
      <w:r>
        <w:t>Для сохранения введенных данных нажать кнопку «Сохранить».</w:t>
      </w:r>
    </w:p>
    <w:p w14:paraId="08152C55">
      <w:pPr>
        <w:pStyle w:val="44"/>
      </w:pPr>
      <w:r>
        <w:t>После сохранения данных в верхней части в списке услуг отобразится запись, содержащая внесенные сведения об услуге.</w:t>
      </w:r>
    </w:p>
    <w:p w14:paraId="18C8E07D">
      <w:pPr>
        <w:pStyle w:val="44"/>
      </w:pPr>
      <w:r>
        <w:t>Если в подразделе «СМП» установлен признак «Применен тромболизис», то в перечне услуг должна быть указана одна из услуг:</w:t>
      </w:r>
    </w:p>
    <w:p w14:paraId="21A4E6CA">
      <w:pPr>
        <w:pStyle w:val="51"/>
      </w:pPr>
      <w:r>
        <w:t>A16.23.034.011 — Локальный эндоваскулярный трансвенозный тромболизис;</w:t>
      </w:r>
    </w:p>
    <w:p w14:paraId="613B50F6">
      <w:pPr>
        <w:pStyle w:val="51"/>
      </w:pPr>
      <w:r>
        <w:t>A16.23.034.012— Локальный эндоваскулярный трансартериальный тромболизис;</w:t>
      </w:r>
    </w:p>
    <w:p w14:paraId="0165CDF8">
      <w:pPr>
        <w:pStyle w:val="51"/>
      </w:pPr>
      <w:r>
        <w:t>А11.12.003.002 — Внутривенное введение лекарственных препаратов для тромболитической терапии.</w:t>
      </w:r>
    </w:p>
    <w:p w14:paraId="0669C091">
      <w:pPr>
        <w:pStyle w:val="44"/>
      </w:pPr>
      <w:r>
        <w:t>При этом в подразделе «Лекарственные препараты» (</w:t>
      </w:r>
      <w:r>
        <w:fldChar w:fldCharType="begin"/>
      </w:r>
      <w:r>
        <w:instrText xml:space="preserve"> REF _Ref164179647 \n \h  \* MERGEFORMAT </w:instrText>
      </w:r>
      <w:r>
        <w:fldChar w:fldCharType="separate"/>
      </w:r>
      <w:r>
        <w:t>4.2.5.5</w:t>
      </w:r>
      <w:r>
        <w:fldChar w:fldCharType="end"/>
      </w:r>
      <w:r>
        <w:t>) должны быть указаны сведения о лекарственном препарате тромболизиса.</w:t>
      </w:r>
    </w:p>
    <w:p w14:paraId="2F526FA7">
      <w:pPr>
        <w:pStyle w:val="44"/>
      </w:pPr>
      <w:r>
        <w:t>Для редактирования сведений об услуге дважды нажать на поле, внести необходимые изменения и нажать кнопку «Сохранить».</w:t>
      </w:r>
    </w:p>
    <w:p w14:paraId="08922B0B">
      <w:pPr>
        <w:pStyle w:val="44"/>
      </w:pPr>
      <w:r>
        <w:t>Для удаления записи об услуге выбрать услугу, нажав на строку, содержащую сведения о ней, установив флаг в поле выбора элементов списка, и нажать кнопку «Удалить» (рис.</w:t>
      </w:r>
      <w:r>
        <w:fldChar w:fldCharType="begin"/>
      </w:r>
      <w:r>
        <w:instrText xml:space="preserve"> REF  _Ref152949975 \h\#\0 \* MERGEFORMAT </w:instrText>
      </w:r>
      <w:r>
        <w:fldChar w:fldCharType="separate"/>
      </w:r>
      <w:r>
        <w:t>97</w:t>
      </w:r>
      <w:r>
        <w:fldChar w:fldCharType="end"/>
      </w:r>
      <w:r>
        <w:t>).</w:t>
      </w:r>
    </w:p>
    <w:p w14:paraId="06A15315">
      <w:pPr>
        <w:pStyle w:val="48"/>
      </w:pPr>
      <w:r>
        <w:drawing>
          <wp:inline distT="0" distB="0" distL="114300" distR="114300">
            <wp:extent cx="6109970" cy="1793875"/>
            <wp:effectExtent l="19050" t="19050" r="24130" b="15875"/>
            <wp:docPr id="27" name="Изображение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Изображение 20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17938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8F3A4C">
      <w:pPr>
        <w:pStyle w:val="49"/>
      </w:pPr>
      <w:bookmarkStart w:id="437" w:name="_Ref1529499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97</w:t>
      </w:r>
      <w:r>
        <w:fldChar w:fldCharType="end"/>
      </w:r>
      <w:bookmarkEnd w:id="437"/>
      <w:r>
        <w:t xml:space="preserve"> — Создание СМП. Услуги на выезде. Удаление записи</w:t>
      </w:r>
    </w:p>
    <w:p w14:paraId="50BC663A">
      <w:pPr>
        <w:pStyle w:val="40"/>
      </w:pPr>
      <w:bookmarkStart w:id="438" w:name="_Ref164179647"/>
      <w:r>
        <w:t xml:space="preserve">Лекарственные </w:t>
      </w:r>
      <w:bookmarkEnd w:id="438"/>
      <w:r>
        <w:t>препараты</w:t>
      </w:r>
    </w:p>
    <w:p w14:paraId="66AA9922">
      <w:pPr>
        <w:pStyle w:val="44"/>
      </w:pPr>
      <w:r>
        <w:t>Регистрация сведений о лекарственных препаратах осуществляется в разделе «Лекарственные препараты» (рис.</w:t>
      </w:r>
      <w:r>
        <w:fldChar w:fldCharType="begin"/>
      </w:r>
      <w:r>
        <w:instrText xml:space="preserve"> REF  _Ref152953282 \h\#\0 \* MERGEFORMAT </w:instrText>
      </w:r>
      <w:r>
        <w:fldChar w:fldCharType="separate"/>
      </w:r>
      <w:r>
        <w:t>98</w:t>
      </w:r>
      <w:r>
        <w:fldChar w:fldCharType="end"/>
      </w:r>
      <w:r>
        <w:t>). Данная вкладка обязательна к заполнению, если применен тромболизис. Для внесения сведений нажать кнопку «+ Добавить».</w:t>
      </w:r>
    </w:p>
    <w:p w14:paraId="336E0CD2">
      <w:pPr>
        <w:pStyle w:val="48"/>
      </w:pPr>
      <w:r>
        <w:drawing>
          <wp:inline distT="0" distB="0" distL="114300" distR="114300">
            <wp:extent cx="6114415" cy="1463040"/>
            <wp:effectExtent l="19050" t="19050" r="19685" b="22860"/>
            <wp:docPr id="28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Изображение 2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14630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54DE7D">
      <w:pPr>
        <w:pStyle w:val="49"/>
      </w:pPr>
      <w:bookmarkStart w:id="439" w:name="_Ref15295328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98</w:t>
      </w:r>
      <w:r>
        <w:fldChar w:fldCharType="end"/>
      </w:r>
      <w:bookmarkEnd w:id="439"/>
      <w:r>
        <w:t xml:space="preserve"> — Создание СМП. Вкладка «Лекарственные препараты»</w:t>
      </w:r>
    </w:p>
    <w:p w14:paraId="1CE830C3">
      <w:pPr>
        <w:pStyle w:val="44"/>
      </w:pPr>
      <w:r>
        <w:t>Откроется форма «Лекарственные препараты: добавление» (рис.</w:t>
      </w:r>
      <w:r>
        <w:fldChar w:fldCharType="begin"/>
      </w:r>
      <w:r>
        <w:instrText xml:space="preserve"> REF  _Ref152954195 \h\#\0 \* MERGEFORMAT </w:instrText>
      </w:r>
      <w:r>
        <w:fldChar w:fldCharType="separate"/>
      </w:r>
      <w:r>
        <w:t>99</w:t>
      </w:r>
      <w:r>
        <w:fldChar w:fldCharType="end"/>
      </w:r>
      <w:r>
        <w:t>).</w:t>
      </w:r>
    </w:p>
    <w:p w14:paraId="09371B0C">
      <w:pPr>
        <w:pStyle w:val="48"/>
      </w:pPr>
      <w:r>
        <w:drawing>
          <wp:inline distT="0" distB="0" distL="114300" distR="114300">
            <wp:extent cx="6116955" cy="3367405"/>
            <wp:effectExtent l="19050" t="19050" r="17145" b="23495"/>
            <wp:docPr id="29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Изображение 2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3674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227696F">
      <w:pPr>
        <w:pStyle w:val="49"/>
      </w:pPr>
      <w:bookmarkStart w:id="440" w:name="_Ref1529541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99</w:t>
      </w:r>
      <w:r>
        <w:fldChar w:fldCharType="end"/>
      </w:r>
      <w:bookmarkEnd w:id="440"/>
      <w:r>
        <w:t xml:space="preserve"> — Создание СМП. Раздел «Лекарственные препараты: добавление»</w:t>
      </w:r>
    </w:p>
    <w:p w14:paraId="5D048776">
      <w:pPr>
        <w:pStyle w:val="44"/>
      </w:pPr>
      <w:r>
        <w:t>Заполнить форму, последовательно указав данные о лекарственных препаратах в</w:t>
      </w:r>
      <w:r>
        <w:rPr>
          <w:lang w:val="en-US"/>
        </w:rPr>
        <w:t> </w:t>
      </w:r>
      <w:r>
        <w:t>следующих полях:</w:t>
      </w:r>
    </w:p>
    <w:p w14:paraId="11CDA64B">
      <w:pPr>
        <w:pStyle w:val="51"/>
      </w:pPr>
      <w:r>
        <w:t>«Стандартизированное МНН (ЛФ и дозировка)» — обязательное поле. Начать ручной ввод международного наименования (МНН) и выбрать</w:t>
      </w:r>
      <w:bookmarkStart w:id="441" w:name="_Hlk157002496"/>
      <w:r>
        <w:t xml:space="preserve"> </w:t>
      </w:r>
      <w:bookmarkEnd w:id="441"/>
      <w:r>
        <w:t>из выпадающего списка необходимое МНН соответствующей лекарственной формы и дозировки;</w:t>
      </w:r>
    </w:p>
    <w:p w14:paraId="1971385B">
      <w:pPr>
        <w:pStyle w:val="51"/>
      </w:pPr>
      <w:r>
        <w:t>«Торговое наименование (Нормализованное МНН, ЛФ и дозировка)» — обязательное поле, заполняется выбором значения из выпадающего списка, после заполнения поля «Стандартизованное МНН»;</w:t>
      </w:r>
    </w:p>
    <w:p w14:paraId="278BBBE0">
      <w:pPr>
        <w:pStyle w:val="51"/>
      </w:pPr>
      <w:r>
        <w:t>«Производитель» — обязательное поле, заполняется выбором значения из</w:t>
      </w:r>
      <w:r>
        <w:rPr>
          <w:lang w:val="en-US"/>
        </w:rPr>
        <w:t> </w:t>
      </w:r>
      <w:r>
        <w:t>выпадающего списка, после заполнения поля «Торговое наименование»;</w:t>
      </w:r>
    </w:p>
    <w:p w14:paraId="36B3386C">
      <w:pPr>
        <w:pStyle w:val="51"/>
      </w:pPr>
      <w:r>
        <w:t>«Регистрационное удостоверение» — обязательное поле, заполняется выбором значения из выпадающего списка, после заполнения поля «Производитель»;</w:t>
      </w:r>
    </w:p>
    <w:p w14:paraId="14885BFB">
      <w:pPr>
        <w:pStyle w:val="51"/>
      </w:pPr>
      <w:r>
        <w:t>«Упаковка» — обязательное поле, заполняется выбором значения из выпадающего списка после заполнения поля «Регистрационное удостоверение». Поля «Единица назначения (ЕН)», «Дозировка ЕН» и «ЖНВЛП» заполняются автоматически после выбора значения в</w:t>
      </w:r>
      <w:r>
        <w:rPr>
          <w:lang w:val="en-US"/>
        </w:rPr>
        <w:t> </w:t>
      </w:r>
      <w:r>
        <w:t>данном поле;</w:t>
      </w:r>
    </w:p>
    <w:p w14:paraId="4E3D705E">
      <w:pPr>
        <w:pStyle w:val="51"/>
      </w:pPr>
      <w:r>
        <w:t>«Код КЛП» — обязательное поле. Код лекарственного препарата заполняется автоматически при корректном заполнении вышеперечисленных полей;</w:t>
      </w:r>
    </w:p>
    <w:p w14:paraId="0DC7A4B4">
      <w:pPr>
        <w:pStyle w:val="51"/>
      </w:pPr>
      <w:r>
        <w:t>«Код упаковки» — необязательное поле. В данном поле можно вручную указать код упаковки или ввести данный код с помощью штрих-сканера, считав код с упаковки лекарственного препарата;</w:t>
      </w:r>
    </w:p>
    <w:p w14:paraId="260CAB3B">
      <w:pPr>
        <w:pStyle w:val="51"/>
      </w:pPr>
      <w:r>
        <w:t>«Путь введения лекарственного препарата» — обязательное поле, заполняется выбором значения из раскрывающегося справочника 1.2.643.5.1.13.13.11.1468;</w:t>
      </w:r>
    </w:p>
    <w:p w14:paraId="39AE4F45">
      <w:pPr>
        <w:pStyle w:val="51"/>
      </w:pPr>
      <w:r>
        <w:t>«Схема лекарственной терапии» — необязательное поле. В данном поле можно указать код схемы лекарственной терапии из справочника V024 «Классификатор классификационных критериев (DopKr)»;</w:t>
      </w:r>
    </w:p>
    <w:p w14:paraId="4F11AB2F">
      <w:pPr>
        <w:pStyle w:val="51"/>
      </w:pPr>
      <w:r>
        <w:t>«Дата и время введения» — обязательное поле;</w:t>
      </w:r>
    </w:p>
    <w:p w14:paraId="73E0FF1D">
      <w:pPr>
        <w:pStyle w:val="51"/>
      </w:pPr>
      <w:r>
        <w:t>«Разовая доза (ЕН)» — обязательное поле. Значение по умолчанию «1»;</w:t>
      </w:r>
    </w:p>
    <w:p w14:paraId="19A801F6">
      <w:pPr>
        <w:pStyle w:val="51"/>
      </w:pPr>
      <w:r>
        <w:t>«Кратность приема на курс» — обязательное поле. Значение по умолчанию «1»;</w:t>
      </w:r>
    </w:p>
    <w:p w14:paraId="5D5FE8BF">
      <w:pPr>
        <w:pStyle w:val="51"/>
      </w:pPr>
      <w:r>
        <w:t>«Суточная доза (ЕН)» — расчетное поле, заполняется автоматически на основе данных в полях «Разовая доза (ЕН)» и «Кратность приема на курс»;</w:t>
      </w:r>
    </w:p>
    <w:p w14:paraId="2DB996C9">
      <w:pPr>
        <w:pStyle w:val="51"/>
      </w:pPr>
      <w:r>
        <w:t>Остаток ЛП (ЕН)» — необязательное поле. В данном поле можно вручную указать количество неизрасходованного (т.е. не введенного пациенту) при вскрытии первичной упаковки лекарственного препарата. Количество должно быть выражено в единицах назначения</w:t>
      </w:r>
      <w:r>
        <w:rPr>
          <w:lang w:val="en-US"/>
        </w:rPr>
        <w:t>;</w:t>
      </w:r>
    </w:p>
    <w:p w14:paraId="4370D1EF">
      <w:pPr>
        <w:pStyle w:val="51"/>
      </w:pPr>
      <w:r>
        <w:t>«Вид оплаты» — по умолчанию установлено значение «1-ОМС».</w:t>
      </w:r>
    </w:p>
    <w:p w14:paraId="5A32A2E7">
      <w:pPr>
        <w:pStyle w:val="51"/>
      </w:pPr>
      <w:r>
        <w:t>«Единица назначения (ЕН)» — поле заполняется автоматически после указания значения в поле «Упаковка»;</w:t>
      </w:r>
    </w:p>
    <w:p w14:paraId="63A05307">
      <w:pPr>
        <w:pStyle w:val="51"/>
      </w:pPr>
      <w:r>
        <w:t>«Дозировка ЕН» — расчетное поле, заполняется автоматически после указания значения в поле «Упаковка»;</w:t>
      </w:r>
    </w:p>
    <w:p w14:paraId="7FF1532B">
      <w:pPr>
        <w:pStyle w:val="51"/>
      </w:pPr>
      <w:r>
        <w:t>«Стоимость за 1 ЕН» — необязательное поле. В данном поле можно вручную указать стоимость одной единицы назначения вводимого лекарственного препарата;</w:t>
      </w:r>
    </w:p>
    <w:p w14:paraId="33BA0379">
      <w:pPr>
        <w:pStyle w:val="51"/>
      </w:pPr>
      <w:r>
        <w:t>«Редукция ЛП» — признак применения редукции, т.е. обоснованного снижения стандартной рекомендуемой дозы лекарственного препарата;</w:t>
      </w:r>
    </w:p>
    <w:p w14:paraId="189E2EF4">
      <w:pPr>
        <w:pStyle w:val="51"/>
      </w:pPr>
      <w:r>
        <w:t>«ЖНВЛП» (жизненно важный лекарственный препарат) — поле заполняется автоматически после указания значения в поле «Упаковка».</w:t>
      </w:r>
    </w:p>
    <w:p w14:paraId="077C0057">
      <w:pPr>
        <w:pStyle w:val="44"/>
      </w:pPr>
      <w:r>
        <w:t>Для сохранения введенных данных нажать кнопку «Сохранить».</w:t>
      </w:r>
    </w:p>
    <w:p w14:paraId="3B25B7D6">
      <w:pPr>
        <w:pStyle w:val="44"/>
      </w:pPr>
      <w:r>
        <w:t xml:space="preserve">После сохранения данных в верхней части в списке услуг отобразится запись, содержащая внесенные сведения об </w:t>
      </w:r>
      <w:bookmarkStart w:id="442" w:name="_Hlk171079445"/>
      <w:r>
        <w:t xml:space="preserve">лекарственных </w:t>
      </w:r>
      <w:bookmarkEnd w:id="442"/>
      <w:r>
        <w:t>препаратах.</w:t>
      </w:r>
    </w:p>
    <w:p w14:paraId="310A695B">
      <w:pPr>
        <w:pStyle w:val="44"/>
      </w:pPr>
      <w:r>
        <w:t>Для редактирования сведений дважды нажать на поле, внести необходимые изменения и нажать кнопку «Сохранить».</w:t>
      </w:r>
    </w:p>
    <w:p w14:paraId="1660B093">
      <w:pPr>
        <w:pStyle w:val="44"/>
      </w:pPr>
      <w:r>
        <w:t>Для удаления записи выбрать лекарственный препарат, нажав на строку, содержащую сведения о ней, установив флаг в поле выбора элементов списка, и нажать кнопку «Удалить».</w:t>
      </w:r>
    </w:p>
    <w:p w14:paraId="50C7DF01">
      <w:pPr>
        <w:pStyle w:val="39"/>
      </w:pPr>
      <w:bookmarkStart w:id="443" w:name="_Toc225871509"/>
      <w:bookmarkStart w:id="444" w:name="_Ref154569597"/>
      <w:r>
        <w:t>Сохранение СЭФД</w:t>
      </w:r>
      <w:bookmarkEnd w:id="396"/>
      <w:bookmarkEnd w:id="397"/>
      <w:bookmarkEnd w:id="443"/>
      <w:bookmarkEnd w:id="444"/>
    </w:p>
    <w:p w14:paraId="1EC311D1">
      <w:pPr>
        <w:pStyle w:val="40"/>
      </w:pPr>
      <w:r>
        <w:t>Сохранение СТЦ завершенных госпитализаций</w:t>
      </w:r>
    </w:p>
    <w:p w14:paraId="3C8F3A58">
      <w:pPr>
        <w:pStyle w:val="44"/>
      </w:pPr>
      <w:r>
        <w:t xml:space="preserve">После заполнения обязательных полей подразделов формы СЭФД для сохранения созданного СЭФД нажать «Сохранить» в правом верхнем углу формы (рис. </w:t>
      </w:r>
      <w:r>
        <w:fldChar w:fldCharType="begin"/>
      </w:r>
      <w:r>
        <w:instrText xml:space="preserve"> REF  _Ref146199851 \h\#\0   \* MERGEFORMAT </w:instrText>
      </w:r>
      <w:r>
        <w:fldChar w:fldCharType="separate"/>
      </w:r>
      <w:r>
        <w:t>100</w:t>
      </w:r>
      <w:r>
        <w:fldChar w:fldCharType="end"/>
      </w:r>
      <w:r>
        <w:t>).</w:t>
      </w:r>
    </w:p>
    <w:p w14:paraId="5DBE1D61">
      <w:pPr>
        <w:pStyle w:val="48"/>
      </w:pPr>
      <w:r>
        <w:drawing>
          <wp:inline distT="0" distB="0" distL="0" distR="0">
            <wp:extent cx="6119495" cy="476885"/>
            <wp:effectExtent l="19050" t="19050" r="14605" b="18415"/>
            <wp:docPr id="2428866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886660" name="Рисунок 1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768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17A0327">
      <w:pPr>
        <w:pStyle w:val="49"/>
      </w:pPr>
      <w:bookmarkStart w:id="445" w:name="_Ref1461998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100</w:t>
      </w:r>
      <w:r>
        <w:fldChar w:fldCharType="end"/>
      </w:r>
      <w:bookmarkEnd w:id="445"/>
      <w:r>
        <w:t xml:space="preserve"> — Форма создания СТЦ. Сохранение данных</w:t>
      </w:r>
    </w:p>
    <w:p w14:paraId="20D7E51B">
      <w:pPr>
        <w:pStyle w:val="44"/>
      </w:pPr>
      <w:r>
        <w:t>После нажатия кнопки «Сохранить» автоматически запускается проверка заполненности обязательных полей и форматно-логический контроль (ФЛК) сохранения СЭФД.</w:t>
      </w:r>
    </w:p>
    <w:p w14:paraId="7D5EDB57">
      <w:pPr>
        <w:pStyle w:val="44"/>
      </w:pPr>
      <w:r>
        <w:t>В случае отсутствия значений в обязательных полях в сохранении СЭФД будет отказано. При этом:</w:t>
      </w:r>
    </w:p>
    <w:p w14:paraId="64EE6373">
      <w:pPr>
        <w:pStyle w:val="51"/>
      </w:pPr>
      <w:r>
        <w:t xml:space="preserve">вкладка, на которой отсутствуют значения в обязательных полях, отмечается красным значком </w:t>
      </w:r>
      <w:r>
        <w:drawing>
          <wp:inline distT="0" distB="0" distL="0" distR="0">
            <wp:extent cx="143510" cy="135255"/>
            <wp:effectExtent l="19050" t="19050" r="27940" b="17145"/>
            <wp:docPr id="19950886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088611" name="Рисунок 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3552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«кружок»;</w:t>
      </w:r>
    </w:p>
    <w:p w14:paraId="4726DD25">
      <w:pPr>
        <w:pStyle w:val="51"/>
      </w:pPr>
      <w:r>
        <w:t>информационный блок, в котором отсутствуют значения в обязательных полях, подсвечивается красным цветом;</w:t>
      </w:r>
    </w:p>
    <w:p w14:paraId="521FFB32">
      <w:pPr>
        <w:pStyle w:val="51"/>
      </w:pPr>
      <w:r>
        <w:t xml:space="preserve">обязательное для заполнения поле отмечается красным значком «звездочка» и отображается предупреждение: «Поле обязательно для заполнения» (рис. </w:t>
      </w:r>
      <w:r>
        <w:fldChar w:fldCharType="begin"/>
      </w:r>
      <w:r>
        <w:instrText xml:space="preserve"> REF  _Ref154422984 \h\#\0   \* MERGEFORMAT </w:instrText>
      </w:r>
      <w:r>
        <w:fldChar w:fldCharType="separate"/>
      </w:r>
      <w:r>
        <w:t>101</w:t>
      </w:r>
      <w:r>
        <w:fldChar w:fldCharType="end"/>
      </w:r>
      <w:r>
        <w:t>).</w:t>
      </w:r>
    </w:p>
    <w:p w14:paraId="09CEFA90">
      <w:pPr>
        <w:pStyle w:val="48"/>
      </w:pPr>
      <w:r>
        <w:drawing>
          <wp:inline distT="0" distB="0" distL="0" distR="0">
            <wp:extent cx="6115685" cy="3889375"/>
            <wp:effectExtent l="19050" t="19050" r="18415" b="15875"/>
            <wp:docPr id="212309555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095551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8893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D175D4">
      <w:pPr>
        <w:pStyle w:val="49"/>
      </w:pPr>
      <w:bookmarkStart w:id="446" w:name="_Ref15442298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101</w:t>
      </w:r>
      <w:r>
        <w:fldChar w:fldCharType="end"/>
      </w:r>
      <w:bookmarkEnd w:id="446"/>
      <w:r>
        <w:t xml:space="preserve"> – Выделение вкладок и полей, обязательных для заполнения при сохранении СЭФД</w:t>
      </w:r>
    </w:p>
    <w:p w14:paraId="493AB2C7">
      <w:pPr>
        <w:pStyle w:val="44"/>
      </w:pPr>
      <w:r>
        <w:t xml:space="preserve">При выявлении неверно заполненных полей или расхождения в данных отображается сообщение об ошибке при создании документа (рис. </w:t>
      </w:r>
      <w:r>
        <w:fldChar w:fldCharType="begin"/>
      </w:r>
      <w:r>
        <w:instrText xml:space="preserve"> REF  _Ref154422967 \h\#\0   \* MERGEFORMAT </w:instrText>
      </w:r>
      <w:r>
        <w:fldChar w:fldCharType="separate"/>
      </w:r>
      <w:r>
        <w:t>102</w:t>
      </w:r>
      <w:r>
        <w:fldChar w:fldCharType="end"/>
      </w:r>
      <w:r>
        <w:t>) с указанием кода ошибки и описанием ошибки.</w:t>
      </w:r>
    </w:p>
    <w:p w14:paraId="6BE965A4">
      <w:pPr>
        <w:pStyle w:val="48"/>
      </w:pPr>
      <w:r>
        <w:drawing>
          <wp:inline distT="0" distB="0" distL="0" distR="0">
            <wp:extent cx="5399405" cy="2900045"/>
            <wp:effectExtent l="19050" t="19050" r="10795" b="14605"/>
            <wp:docPr id="1633307724" name="Рисунок 1633307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307724" name="Рисунок 1633307724"/>
                    <pic:cNvPicPr>
                      <a:picLocks noChangeAspect="1"/>
                    </pic:cNvPicPr>
                  </pic:nvPicPr>
                  <pic:blipFill>
                    <a:blip r:embed="rId128"/>
                    <a:srcRect t="-1219" r="21032" b="138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90008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ED2D40">
      <w:pPr>
        <w:pStyle w:val="49"/>
      </w:pPr>
      <w:bookmarkStart w:id="447" w:name="_Ref1544229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102</w:t>
      </w:r>
      <w:r>
        <w:fldChar w:fldCharType="end"/>
      </w:r>
      <w:bookmarkEnd w:id="447"/>
      <w:r>
        <w:t xml:space="preserve"> — Уведомление об ошибке при создании документа</w:t>
      </w:r>
    </w:p>
    <w:p w14:paraId="6CEDE702">
      <w:pPr>
        <w:pStyle w:val="44"/>
      </w:pPr>
      <w:r>
        <w:t xml:space="preserve">Ошибки, допущенные при заполнении документа, отображаются в блоке «Ошибки по документу» подраздела «Ошибки ФЛК» (см. </w:t>
      </w:r>
      <w:r>
        <w:fldChar w:fldCharType="begin"/>
      </w:r>
      <w:r>
        <w:instrText xml:space="preserve"> REF _Ref143269723 \n \h  \* MERGEFORMAT </w:instrText>
      </w:r>
      <w:r>
        <w:fldChar w:fldCharType="separate"/>
      </w:r>
      <w:r>
        <w:t>4.2.8</w:t>
      </w:r>
      <w:r>
        <w:fldChar w:fldCharType="end"/>
      </w:r>
      <w:r>
        <w:t>).</w:t>
      </w:r>
    </w:p>
    <w:p w14:paraId="7DC4342E">
      <w:pPr>
        <w:pStyle w:val="44"/>
      </w:pPr>
      <w:r>
        <w:t xml:space="preserve">В случае успешного сохранения документа в информационной строке СЭФД отобразятся поля, содержащие следующую информацию </w:t>
      </w:r>
      <w:r>
        <w:rPr>
          <w:lang w:val="en-US"/>
        </w:rPr>
        <w:t>(</w:t>
      </w:r>
      <w:r>
        <w:t xml:space="preserve">рис. </w:t>
      </w:r>
      <w:r>
        <w:fldChar w:fldCharType="begin"/>
      </w:r>
      <w:r>
        <w:instrText xml:space="preserve"> REF  _Ref154422952 \h\#\0   \* MERGEFORMAT </w:instrText>
      </w:r>
      <w:r>
        <w:fldChar w:fldCharType="separate"/>
      </w:r>
      <w:r>
        <w:t>103</w:t>
      </w:r>
      <w:r>
        <w:fldChar w:fldCharType="end"/>
      </w:r>
      <w:r>
        <w:rPr>
          <w:lang w:val="en-US"/>
        </w:rPr>
        <w:t>)</w:t>
      </w:r>
      <w:r>
        <w:t>:</w:t>
      </w:r>
    </w:p>
    <w:p w14:paraId="6B12BDAC">
      <w:pPr>
        <w:pStyle w:val="51"/>
      </w:pPr>
      <w:r>
        <w:t>вид документа (СТЦ, АМБ или СМП);</w:t>
      </w:r>
    </w:p>
    <w:p w14:paraId="49035E27">
      <w:pPr>
        <w:pStyle w:val="51"/>
      </w:pPr>
      <w:r>
        <w:t>фамилия, имя, отчество пациента;</w:t>
      </w:r>
    </w:p>
    <w:p w14:paraId="213FE2F3">
      <w:pPr>
        <w:pStyle w:val="51"/>
      </w:pPr>
      <w:r>
        <w:t>статус</w:t>
      </w:r>
      <w:r>
        <w:rPr>
          <w:lang w:val="en-US"/>
        </w:rPr>
        <w:t xml:space="preserve"> — </w:t>
      </w:r>
      <w:r>
        <w:t>текущее состояние документа;</w:t>
      </w:r>
    </w:p>
    <w:p w14:paraId="2AF24385">
      <w:pPr>
        <w:pStyle w:val="51"/>
      </w:pPr>
      <w:r>
        <w:rPr>
          <w:lang w:val="en-US"/>
        </w:rPr>
        <w:t xml:space="preserve">ID </w:t>
      </w:r>
      <w:r>
        <w:t>— номер документа.</w:t>
      </w:r>
    </w:p>
    <w:p w14:paraId="376E0993">
      <w:pPr>
        <w:pStyle w:val="48"/>
      </w:pPr>
      <w:r>
        <w:drawing>
          <wp:inline distT="0" distB="0" distL="0" distR="0">
            <wp:extent cx="6119495" cy="580390"/>
            <wp:effectExtent l="19050" t="19050" r="14605" b="10160"/>
            <wp:docPr id="1745934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934479" name="Рисунок 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803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059C13E">
      <w:pPr>
        <w:pStyle w:val="49"/>
      </w:pPr>
      <w:bookmarkStart w:id="448" w:name="_Ref1544229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103</w:t>
      </w:r>
      <w:r>
        <w:fldChar w:fldCharType="end"/>
      </w:r>
      <w:bookmarkEnd w:id="448"/>
      <w:r>
        <w:t xml:space="preserve"> — Информационная строка СЭФД</w:t>
      </w:r>
    </w:p>
    <w:p w14:paraId="6E574A34">
      <w:pPr>
        <w:pStyle w:val="44"/>
      </w:pPr>
      <w:r>
        <w:t>Текущее состояние документа (статус) обозначается трехзначным числом, характеризующим состояние документа на этапах создания/редактирования, прохождения ФЛК и включения в счет.</w:t>
      </w:r>
    </w:p>
    <w:p w14:paraId="25C68F33">
      <w:pPr>
        <w:pStyle w:val="44"/>
      </w:pPr>
      <w:r>
        <w:t xml:space="preserve">Описание значений позиций в коде статуса и возможных текущих состояний СЭФД приведено в приложении </w:t>
      </w:r>
      <w:r>
        <w:fldChar w:fldCharType="begin"/>
      </w:r>
      <w:r>
        <w:instrText xml:space="preserve"> REF  _Ref154745681 \h \n \t  \* MERGEFORMAT </w:instrText>
      </w:r>
      <w:r>
        <w:fldChar w:fldCharType="separate"/>
      </w:r>
      <w:r>
        <w:t>А</w:t>
      </w:r>
      <w:r>
        <w:fldChar w:fldCharType="end"/>
      </w:r>
      <w:r>
        <w:t>.</w:t>
      </w:r>
    </w:p>
    <w:p w14:paraId="4D7056FE">
      <w:pPr>
        <w:pStyle w:val="44"/>
      </w:pPr>
      <w:r>
        <w:t xml:space="preserve">Расшифровка статуса документа отображается при наведении курсора на поле «Статус» (рис. </w:t>
      </w:r>
      <w:r>
        <w:fldChar w:fldCharType="begin"/>
      </w:r>
      <w:r>
        <w:instrText xml:space="preserve"> REF  _Ref146205361 \h\#\0   \* MERGEFORMAT </w:instrText>
      </w:r>
      <w:r>
        <w:fldChar w:fldCharType="separate"/>
      </w:r>
      <w:r>
        <w:t>104</w:t>
      </w:r>
      <w:r>
        <w:fldChar w:fldCharType="end"/>
      </w:r>
      <w:r>
        <w:t>).</w:t>
      </w:r>
    </w:p>
    <w:p w14:paraId="2F8361A0">
      <w:pPr>
        <w:pStyle w:val="48"/>
      </w:pPr>
      <w:r>
        <w:drawing>
          <wp:inline distT="0" distB="0" distL="0" distR="0">
            <wp:extent cx="6119495" cy="1116330"/>
            <wp:effectExtent l="19050" t="19050" r="14605" b="26670"/>
            <wp:docPr id="665912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91289" name="Рисунок 1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1633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1205C2A">
      <w:pPr>
        <w:pStyle w:val="49"/>
      </w:pPr>
      <w:bookmarkStart w:id="449" w:name="_Ref1462053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104</w:t>
      </w:r>
      <w:r>
        <w:fldChar w:fldCharType="end"/>
      </w:r>
      <w:bookmarkEnd w:id="449"/>
      <w:r>
        <w:t xml:space="preserve"> — Статус СЭФД</w:t>
      </w:r>
    </w:p>
    <w:p w14:paraId="017C9B11">
      <w:pPr>
        <w:pStyle w:val="44"/>
      </w:pPr>
      <w:r>
        <w:t xml:space="preserve">При наведении курсора на значок </w:t>
      </w:r>
      <w:r>
        <w:drawing>
          <wp:inline distT="0" distB="0" distL="0" distR="0">
            <wp:extent cx="219075" cy="190500"/>
            <wp:effectExtent l="19050" t="19050" r="28575" b="19050"/>
            <wp:docPr id="20752422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242223" name="Рисунок 1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19106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(рис. </w:t>
      </w:r>
      <w:r>
        <w:fldChar w:fldCharType="begin"/>
      </w:r>
      <w:r>
        <w:instrText xml:space="preserve"> REF  _Ref154423036 \h\#\0   \* MERGEFORMAT </w:instrText>
      </w:r>
      <w:r>
        <w:fldChar w:fldCharType="separate"/>
      </w:r>
      <w:r>
        <w:t>105</w:t>
      </w:r>
      <w:r>
        <w:fldChar w:fldCharType="end"/>
      </w:r>
      <w:r>
        <w:t>) отображаются основные сведения о версии СЭФД:</w:t>
      </w:r>
    </w:p>
    <w:p w14:paraId="24558C8E">
      <w:pPr>
        <w:pStyle w:val="51"/>
      </w:pPr>
      <w:r>
        <w:t>номер версии СЭФД;</w:t>
      </w:r>
    </w:p>
    <w:p w14:paraId="00FDF1F7">
      <w:pPr>
        <w:pStyle w:val="51"/>
      </w:pPr>
      <w:r>
        <w:t>дата и время создания версии СЭФД;</w:t>
      </w:r>
    </w:p>
    <w:p w14:paraId="29384F8F">
      <w:pPr>
        <w:pStyle w:val="51"/>
      </w:pPr>
      <w:r>
        <w:t>учетная запись пользователя, создавшего СЭФД;</w:t>
      </w:r>
    </w:p>
    <w:p w14:paraId="7050F355">
      <w:pPr>
        <w:pStyle w:val="51"/>
      </w:pPr>
      <w:r>
        <w:t>путь поступления (</w:t>
      </w:r>
      <w:bookmarkStart w:id="450" w:name="_Hlk176196884"/>
      <w:r>
        <w:t>интерфейс/веб-сервисы</w:t>
      </w:r>
      <w:bookmarkEnd w:id="450"/>
      <w:r>
        <w:t>).</w:t>
      </w:r>
    </w:p>
    <w:p w14:paraId="4488EB84">
      <w:pPr>
        <w:pStyle w:val="49"/>
        <w:ind w:left="0"/>
        <w:rPr>
          <w:lang w:eastAsia="ru-RU"/>
        </w:rPr>
      </w:pPr>
      <w:r>
        <w:rPr>
          <w:lang w:eastAsia="ru-RU"/>
        </w:rPr>
        <w:drawing>
          <wp:inline distT="0" distB="0" distL="0" distR="0">
            <wp:extent cx="6119495" cy="1429385"/>
            <wp:effectExtent l="19050" t="19050" r="14605" b="18415"/>
            <wp:docPr id="2061959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959276" name="Рисунок 1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293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F430368">
      <w:pPr>
        <w:pStyle w:val="49"/>
      </w:pPr>
      <w:bookmarkStart w:id="451" w:name="_Ref1544230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105</w:t>
      </w:r>
      <w:r>
        <w:fldChar w:fldCharType="end"/>
      </w:r>
      <w:bookmarkEnd w:id="451"/>
      <w:r>
        <w:t xml:space="preserve"> — Краткие сведения о документе</w:t>
      </w:r>
    </w:p>
    <w:p w14:paraId="18E6692E">
      <w:pPr>
        <w:pStyle w:val="44"/>
      </w:pPr>
      <w:r>
        <w:t>После успешного сохранения СЭФД в реестре СЭФД отображается запись сформированного документа.</w:t>
      </w:r>
    </w:p>
    <w:p w14:paraId="5A5DBD43">
      <w:pPr>
        <w:pStyle w:val="44"/>
      </w:pPr>
      <w:r>
        <w:t xml:space="preserve">Сохранение СЭФД СТЦ завершенного случая является инициирующим событием для автоматического отображения в «Реестре счетов» записи формирования предварительного счета (предварительное формирование стоимости МП) в статусе «Черновик», версия 1. Просмотреть предварительно сформированный счет в статусе «Черновик» можно в «Реестре счетов» (см. </w:t>
      </w:r>
      <w:r>
        <w:fldChar w:fldCharType="begin"/>
      </w:r>
      <w:r>
        <w:instrText xml:space="preserve"> REF _Ref147163104 \n \h  \* MERGEFORMAT </w:instrText>
      </w:r>
      <w:r>
        <w:fldChar w:fldCharType="separate"/>
      </w:r>
      <w:r>
        <w:t>4.3.1</w:t>
      </w:r>
      <w:r>
        <w:fldChar w:fldCharType="end"/>
      </w:r>
      <w:r>
        <w:t>).</w:t>
      </w:r>
    </w:p>
    <w:p w14:paraId="59328BFB">
      <w:pPr>
        <w:pStyle w:val="44"/>
      </w:pPr>
      <w:r>
        <w:t xml:space="preserve">При сохранении СЭФД автоматически выполняются проверки ФЛК создания СЭФД. СЭФД, не прошедшие проверку ФЛК создания СЭФД, в счет не включаются и отображаются в папке «Ошибки» (см. </w:t>
      </w:r>
      <w:r>
        <w:fldChar w:fldCharType="begin"/>
      </w:r>
      <w:r>
        <w:instrText xml:space="preserve"> REF _Ref143600263 \n \h  \* MERGEFORMAT </w:instrText>
      </w:r>
      <w:r>
        <w:fldChar w:fldCharType="separate"/>
      </w:r>
      <w:r>
        <w:t>4.3.4</w:t>
      </w:r>
      <w:r>
        <w:fldChar w:fldCharType="end"/>
      </w:r>
      <w:r>
        <w:t>.).</w:t>
      </w:r>
    </w:p>
    <w:p w14:paraId="0330F175">
      <w:pPr>
        <w:pStyle w:val="44"/>
      </w:pPr>
      <w:r>
        <w:t>Все услуги из СЭФД СТЦ, включая симультанные, попадают в отчетный период, соответствующий дате выписки из стационара.</w:t>
      </w:r>
    </w:p>
    <w:p w14:paraId="07ABBDBF">
      <w:pPr>
        <w:pStyle w:val="44"/>
      </w:pPr>
      <w:r>
        <w:t>Все СЭФД, отнесенные к отчетному периоду, распределяются по типам плательщиков — по страховой принадлежности ЗЛ (СМО), типу пациента (ТФОМС) или типу МП (ВМП).</w:t>
      </w:r>
    </w:p>
    <w:p w14:paraId="629AEA41">
      <w:pPr>
        <w:pStyle w:val="40"/>
      </w:pPr>
      <w:r>
        <w:t>Сохранение СТЦ незавершенных случаев госпитализации</w:t>
      </w:r>
    </w:p>
    <w:p w14:paraId="6C19B457">
      <w:pPr>
        <w:pStyle w:val="44"/>
      </w:pPr>
      <w:r>
        <w:t>Для сохранения введенных данных незавершенных случаях госпитализации (текущая госпитализация) должно быть заполнено поле «Плановая дата окончания госпитализации».</w:t>
      </w:r>
    </w:p>
    <w:p w14:paraId="31285E60">
      <w:pPr>
        <w:pStyle w:val="44"/>
      </w:pPr>
      <w:r>
        <w:t>После нажатия кнопки «Сохранить» СЭФД с неполными данными сохраняется в статусе «Черновик» (значение «000»).</w:t>
      </w:r>
    </w:p>
    <w:p w14:paraId="74B94A96">
      <w:pPr>
        <w:pStyle w:val="44"/>
      </w:pPr>
      <w:r>
        <w:t>СЭФД с незавершенными случаями госпитализации не включаются в счет и не учитываются в показателях фактически оказанной МП до момента указания оператором МО даты окончания госпитализации в поле «Дата выбытия».</w:t>
      </w:r>
    </w:p>
    <w:p w14:paraId="442D6A6D">
      <w:pPr>
        <w:pStyle w:val="40"/>
        <w:rPr>
          <w:lang w:eastAsia="en-US"/>
        </w:rPr>
      </w:pPr>
      <w:bookmarkStart w:id="452" w:name="_Ref142477690"/>
      <w:bookmarkStart w:id="453" w:name="_Toc149209659"/>
      <w:r>
        <w:rPr>
          <w:lang w:eastAsia="en-US"/>
        </w:rPr>
        <w:t xml:space="preserve">Просмотр сведений о стоимости </w:t>
      </w:r>
      <w:bookmarkEnd w:id="452"/>
      <w:bookmarkEnd w:id="453"/>
      <w:r>
        <w:rPr>
          <w:lang w:eastAsia="en-US"/>
        </w:rPr>
        <w:t>СЭФД</w:t>
      </w:r>
    </w:p>
    <w:p w14:paraId="1D58ABBF">
      <w:pPr>
        <w:pStyle w:val="44"/>
      </w:pPr>
      <w:bookmarkStart w:id="454" w:name="_Hlk154481794"/>
      <w:r>
        <w:t>После сохранения СЭФД автоматически рассчитывается стоимость оказания МП. Просмотреть стоимость оказания МП можно на вкладке «Реестр СЭФД» в столбце «Сумма, руб».</w:t>
      </w:r>
    </w:p>
    <w:p w14:paraId="59D7D75E">
      <w:pPr>
        <w:pStyle w:val="44"/>
      </w:pPr>
      <w:r>
        <w:t xml:space="preserve">Детальные сведения о расчете стоимости СЭФД представлены на вкладке «Детализация расчета» в СЭФД в виде формулы расчета, используемых значений параметров расчета и рассчитанной стоимости СЭФД (рис. </w:t>
      </w:r>
      <w:r>
        <w:fldChar w:fldCharType="begin"/>
      </w:r>
      <w:r>
        <w:instrText xml:space="preserve"> REF  _Ref225515559 \h \t \#\0 \* MERGEFORMAT </w:instrText>
      </w:r>
      <w:r>
        <w:fldChar w:fldCharType="separate"/>
      </w:r>
      <w:r>
        <w:t>106</w:t>
      </w:r>
      <w:r>
        <w:fldChar w:fldCharType="end"/>
      </w:r>
      <w:r>
        <w:t>).</w:t>
      </w:r>
    </w:p>
    <w:p w14:paraId="1A8B56BE">
      <w:pPr>
        <w:pStyle w:val="48"/>
      </w:pPr>
      <w:r>
        <w:drawing>
          <wp:inline distT="0" distB="0" distL="0" distR="0">
            <wp:extent cx="6119495" cy="2696210"/>
            <wp:effectExtent l="19050" t="19050" r="14605" b="27940"/>
            <wp:docPr id="376244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24428" name="Рисунок 1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962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988C4C">
      <w:pPr>
        <w:pStyle w:val="49"/>
      </w:pPr>
      <w:bookmarkStart w:id="455" w:name="_Ref22551555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106</w:t>
      </w:r>
      <w:r>
        <w:fldChar w:fldCharType="end"/>
      </w:r>
      <w:bookmarkEnd w:id="455"/>
      <w:r>
        <w:t xml:space="preserve"> — Просмотр данных СЭФД. Вкладка «Детализация расчета»</w:t>
      </w:r>
    </w:p>
    <w:p w14:paraId="409412F8">
      <w:pPr>
        <w:pStyle w:val="44"/>
      </w:pPr>
      <w:r>
        <w:t xml:space="preserve">При наведении указателя на параметр в формуле расчета во всплывающей подсказке приводится полное название параметра (рис. </w:t>
      </w:r>
      <w:r>
        <w:fldChar w:fldCharType="begin"/>
      </w:r>
      <w:r>
        <w:instrText xml:space="preserve"> REF  _Ref225516604 \h \t \#\0 \* MERGEFORMAT </w:instrText>
      </w:r>
      <w:r>
        <w:fldChar w:fldCharType="separate"/>
      </w:r>
      <w:r>
        <w:t>107</w:t>
      </w:r>
      <w:r>
        <w:fldChar w:fldCharType="end"/>
      </w:r>
      <w:r>
        <w:t>).</w:t>
      </w:r>
    </w:p>
    <w:p w14:paraId="6735E52B">
      <w:pPr>
        <w:pStyle w:val="48"/>
      </w:pPr>
      <w:r>
        <w:drawing>
          <wp:inline distT="0" distB="0" distL="0" distR="0">
            <wp:extent cx="4667885" cy="1028700"/>
            <wp:effectExtent l="19050" t="19050" r="18415" b="19050"/>
            <wp:docPr id="6610853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85343" name="Рисунок 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667901" cy="102884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065FD8">
      <w:pPr>
        <w:pStyle w:val="49"/>
      </w:pPr>
      <w:bookmarkStart w:id="456" w:name="_Ref22551660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107</w:t>
      </w:r>
      <w:r>
        <w:fldChar w:fldCharType="end"/>
      </w:r>
      <w:bookmarkEnd w:id="456"/>
      <w:r>
        <w:t xml:space="preserve"> — Расшифровка названия параметра в формуле расчета стоимости СЭФД</w:t>
      </w:r>
    </w:p>
    <w:bookmarkEnd w:id="454"/>
    <w:p w14:paraId="036F41CD">
      <w:pPr>
        <w:pStyle w:val="39"/>
      </w:pPr>
      <w:bookmarkStart w:id="457" w:name="_Ref149209742"/>
      <w:bookmarkStart w:id="458" w:name="_Toc149209638"/>
      <w:bookmarkStart w:id="459" w:name="_Toc225871510"/>
      <w:r>
        <w:t>Поиск и просмотр СЭФД</w:t>
      </w:r>
      <w:bookmarkEnd w:id="457"/>
      <w:bookmarkEnd w:id="458"/>
      <w:bookmarkEnd w:id="459"/>
    </w:p>
    <w:p w14:paraId="0A3F6882">
      <w:pPr>
        <w:pStyle w:val="44"/>
      </w:pPr>
      <w:r>
        <w:t>Все СЭФД, созданные как в ручном режиме путем заполнения СЭФД в графическом интерфейсе, так посредством веб-сервисов, отображаются в «Реестре СЭФД».</w:t>
      </w:r>
    </w:p>
    <w:p w14:paraId="5E3BF8C3">
      <w:pPr>
        <w:pStyle w:val="44"/>
      </w:pPr>
      <w:r>
        <w:t xml:space="preserve">По умолчанию в разделе «Общий блок» поля с диапазоном дат завершения случаев предзаполнены значениями за один день от текущей даты и в Реестре СЭФД отображаются все СЭФД за указанный период (рис. </w:t>
      </w:r>
      <w:r>
        <w:fldChar w:fldCharType="begin"/>
      </w:r>
      <w:r>
        <w:instrText xml:space="preserve"> REF  _Ref154423198 \h\#\0   \* MERGEFORMAT </w:instrText>
      </w:r>
      <w:r>
        <w:fldChar w:fldCharType="separate"/>
      </w:r>
      <w:r>
        <w:t>108</w:t>
      </w:r>
      <w:r>
        <w:fldChar w:fldCharType="end"/>
      </w:r>
      <w:r>
        <w:t>).</w:t>
      </w:r>
    </w:p>
    <w:p w14:paraId="3F5092A9">
      <w:pPr>
        <w:pStyle w:val="48"/>
      </w:pPr>
      <w:r>
        <w:drawing>
          <wp:inline distT="0" distB="0" distL="0" distR="0">
            <wp:extent cx="6119495" cy="1988185"/>
            <wp:effectExtent l="19050" t="19050" r="14605" b="12065"/>
            <wp:docPr id="161637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37013" name="Рисунок 1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881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76A24A">
      <w:pPr>
        <w:pStyle w:val="49"/>
      </w:pPr>
      <w:bookmarkStart w:id="460" w:name="_Ref15442319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108</w:t>
      </w:r>
      <w:r>
        <w:fldChar w:fldCharType="end"/>
      </w:r>
      <w:bookmarkEnd w:id="460"/>
      <w:r>
        <w:t xml:space="preserve"> — Реестр СЭФД</w:t>
      </w:r>
    </w:p>
    <w:p w14:paraId="103C948D">
      <w:pPr>
        <w:pStyle w:val="44"/>
      </w:pPr>
      <w:r>
        <w:t>Поиск СЭФД возможен как по одному, так и по нескольким параметрам одновременно.</w:t>
      </w:r>
    </w:p>
    <w:p w14:paraId="0CB74A49">
      <w:pPr>
        <w:pStyle w:val="44"/>
      </w:pPr>
      <w:r>
        <w:t>Для просмотра списка всех СЭФД за определенный период необходимо в панели фильтрации в разделе «Общий блок» установить необходимый диапазон дат завершения случаев и нажать кнопку «Найти».</w:t>
      </w:r>
    </w:p>
    <w:p w14:paraId="070A88DA">
      <w:pPr>
        <w:pStyle w:val="44"/>
      </w:pPr>
      <w:r>
        <w:t xml:space="preserve">Для поиска СЭФД по другим параметрам раскрыть необходимый раздел поиска, указать значение в поле и нажать кнопку «Найти» (рис. </w:t>
      </w:r>
      <w:r>
        <w:fldChar w:fldCharType="begin"/>
      </w:r>
      <w:r>
        <w:instrText xml:space="preserve"> REF  _Ref133510378 \h\#\0   \* MERGEFORMAT </w:instrText>
      </w:r>
      <w:r>
        <w:fldChar w:fldCharType="separate"/>
      </w:r>
      <w:r>
        <w:t>109</w:t>
      </w:r>
      <w:r>
        <w:fldChar w:fldCharType="end"/>
      </w:r>
      <w:r>
        <w:t>).</w:t>
      </w:r>
    </w:p>
    <w:p w14:paraId="7F1BAA61">
      <w:pPr>
        <w:pStyle w:val="48"/>
      </w:pPr>
      <w:r>
        <w:drawing>
          <wp:inline distT="0" distB="0" distL="0" distR="0">
            <wp:extent cx="2159635" cy="4826000"/>
            <wp:effectExtent l="19050" t="19050" r="12065" b="12700"/>
            <wp:docPr id="43442288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422889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82616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3643E2D">
      <w:pPr>
        <w:pStyle w:val="49"/>
      </w:pPr>
      <w:bookmarkStart w:id="461" w:name="_Ref1335103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109</w:t>
      </w:r>
      <w:r>
        <w:fldChar w:fldCharType="end"/>
      </w:r>
      <w:bookmarkEnd w:id="461"/>
      <w:r>
        <w:t xml:space="preserve"> — Реестр СЭФД. Разделы поиска блока «Фильтр».</w:t>
      </w:r>
    </w:p>
    <w:p w14:paraId="2AEBBEB1">
      <w:pPr>
        <w:pStyle w:val="44"/>
      </w:pPr>
      <w:r>
        <w:t>После нажатия кнопки «Найти» в рабочей области «Реестр СЭФД» (рис.</w:t>
      </w:r>
      <w:r>
        <w:rPr>
          <w:lang w:val="en-US"/>
        </w:rPr>
        <w:t> </w:t>
      </w:r>
      <w:r>
        <w:fldChar w:fldCharType="begin"/>
      </w:r>
      <w:r>
        <w:instrText xml:space="preserve"> REF  _Ref133510379 \h\#\0   \* MERGEFORMAT </w:instrText>
      </w:r>
      <w:r>
        <w:fldChar w:fldCharType="separate"/>
      </w:r>
      <w:r>
        <w:t>110</w:t>
      </w:r>
      <w:r>
        <w:fldChar w:fldCharType="end"/>
      </w:r>
      <w:r>
        <w:t>) отобразится список документов, соответствующих поисковому запросу. В поле «Найдено» отображается количество документов, соответствующих поисковому запросу.</w:t>
      </w:r>
    </w:p>
    <w:p w14:paraId="0B44B580">
      <w:pPr>
        <w:pStyle w:val="48"/>
      </w:pPr>
      <w:r>
        <w:drawing>
          <wp:inline distT="0" distB="0" distL="0" distR="0">
            <wp:extent cx="6119495" cy="1651000"/>
            <wp:effectExtent l="19050" t="19050" r="14605" b="25400"/>
            <wp:docPr id="690519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1942" name="Рисунок 1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5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F94150B">
      <w:pPr>
        <w:pStyle w:val="49"/>
      </w:pPr>
      <w:bookmarkStart w:id="462" w:name="_Ref1335103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110</w:t>
      </w:r>
      <w:r>
        <w:fldChar w:fldCharType="end"/>
      </w:r>
      <w:bookmarkEnd w:id="462"/>
      <w:r>
        <w:t xml:space="preserve"> — Реестр СЭФД. Результаты поиска</w:t>
      </w:r>
    </w:p>
    <w:p w14:paraId="7EF834EA">
      <w:pPr>
        <w:pStyle w:val="44"/>
      </w:pPr>
      <w:bookmarkStart w:id="463" w:name="_Hlk154481966"/>
      <w:r>
        <w:t>Табличная форма содержит следующие столбцы:</w:t>
      </w:r>
    </w:p>
    <w:bookmarkEnd w:id="463"/>
    <w:p w14:paraId="2C87258F">
      <w:pPr>
        <w:pStyle w:val="51"/>
      </w:pPr>
      <w:r>
        <w:t>«№ пп» — порядковый номер записи;</w:t>
      </w:r>
    </w:p>
    <w:p w14:paraId="1A8A5A62">
      <w:pPr>
        <w:pStyle w:val="51"/>
      </w:pPr>
      <w:r>
        <w:t>«</w:t>
      </w:r>
      <w:r>
        <w:rPr>
          <w:lang w:val="en-US"/>
        </w:rPr>
        <w:t>ID</w:t>
      </w:r>
      <w:r>
        <w:t>» — идентификатор документа в ФПУМП;</w:t>
      </w:r>
    </w:p>
    <w:p w14:paraId="48BA1B85">
      <w:pPr>
        <w:pStyle w:val="51"/>
      </w:pPr>
      <w:r>
        <w:t>«</w:t>
      </w:r>
      <w:r>
        <w:rPr>
          <w:lang w:val="en-US"/>
        </w:rPr>
        <w:t>OIP</w:t>
      </w:r>
      <w:r>
        <w:t>» — обезличенный идентификатор пациента;</w:t>
      </w:r>
    </w:p>
    <w:p w14:paraId="26BEA6D1">
      <w:pPr>
        <w:pStyle w:val="51"/>
      </w:pPr>
      <w:r>
        <w:t>«Лист регистрации»;</w:t>
      </w:r>
    </w:p>
    <w:p w14:paraId="7B12702C">
      <w:pPr>
        <w:pStyle w:val="51"/>
      </w:pPr>
      <w:r>
        <w:t>«Дата завершения законченного случая»</w:t>
      </w:r>
      <w:r>
        <w:rPr>
          <w:lang w:val="en-US"/>
        </w:rPr>
        <w:t>;</w:t>
      </w:r>
    </w:p>
    <w:p w14:paraId="0D66366F">
      <w:pPr>
        <w:pStyle w:val="51"/>
      </w:pPr>
      <w:r>
        <w:t>«Статус» — текущее состояние СЭФД (при наведении указателя на значение приводится расшифровка);</w:t>
      </w:r>
    </w:p>
    <w:p w14:paraId="2542E9E9">
      <w:pPr>
        <w:pStyle w:val="51"/>
      </w:pPr>
      <w:r>
        <w:t>«Тип документа» — АМБ, СМП, СТЦ;</w:t>
      </w:r>
    </w:p>
    <w:p w14:paraId="13146238">
      <w:pPr>
        <w:pStyle w:val="51"/>
      </w:pPr>
      <w:r>
        <w:t>«ТФОМС» — наименование ТФОМС субъекта РФ;</w:t>
      </w:r>
    </w:p>
    <w:p w14:paraId="1008B844">
      <w:pPr>
        <w:pStyle w:val="51"/>
      </w:pPr>
      <w:r>
        <w:t>«Код субъекта МО» — код и наименование субъекта РФ;</w:t>
      </w:r>
    </w:p>
    <w:p w14:paraId="3991CBD7">
      <w:pPr>
        <w:pStyle w:val="51"/>
      </w:pPr>
      <w:r>
        <w:t>«Филиал» — код филиала МО по справочнику ФРМО;</w:t>
      </w:r>
    </w:p>
    <w:p w14:paraId="2945C75B">
      <w:pPr>
        <w:pStyle w:val="51"/>
      </w:pPr>
      <w:r>
        <w:t>«Номер бригады» — номер бригады СМП, доставившей пациента;</w:t>
      </w:r>
    </w:p>
    <w:p w14:paraId="74FDB623">
      <w:pPr>
        <w:pStyle w:val="51"/>
      </w:pPr>
      <w:r>
        <w:t>«Профиль мониторинга» — профиль мониторинга для контроля объемов и сумм оказанной МП (при наведении указателя приводится детальная информация);</w:t>
      </w:r>
    </w:p>
    <w:p w14:paraId="444152E0">
      <w:pPr>
        <w:pStyle w:val="51"/>
      </w:pPr>
      <w:r>
        <w:t>«Отделение» — код и наименование отделения в ФРМО;</w:t>
      </w:r>
    </w:p>
    <w:p w14:paraId="19154673">
      <w:pPr>
        <w:pStyle w:val="51"/>
      </w:pPr>
      <w:r>
        <w:t>«Пациент» — ФИО пациента;</w:t>
      </w:r>
    </w:p>
    <w:p w14:paraId="603C72E8">
      <w:pPr>
        <w:pStyle w:val="51"/>
      </w:pPr>
      <w:r>
        <w:t>«Диагноз» — код основного диагноза;</w:t>
      </w:r>
    </w:p>
    <w:p w14:paraId="0A1112EA">
      <w:pPr>
        <w:pStyle w:val="51"/>
      </w:pPr>
      <w:r>
        <w:t>«КСГ»</w:t>
      </w:r>
      <w:r>
        <w:rPr>
          <w:lang w:val="en-US"/>
        </w:rPr>
        <w:t xml:space="preserve"> — </w:t>
      </w:r>
      <w:r>
        <w:t>код группы КСГ;</w:t>
      </w:r>
    </w:p>
    <w:p w14:paraId="4C0F4C4F">
      <w:pPr>
        <w:pStyle w:val="51"/>
      </w:pPr>
      <w:r>
        <w:t>«ВМП» — код группы ВМП</w:t>
      </w:r>
      <w:r>
        <w:rPr>
          <w:lang w:val="en-US"/>
        </w:rPr>
        <w:t>;</w:t>
      </w:r>
    </w:p>
    <w:p w14:paraId="01EF6079">
      <w:pPr>
        <w:pStyle w:val="51"/>
      </w:pPr>
      <w:r>
        <w:t>«Услуги» — перечень оказанных пациенту услуг по справочнику НМУ (1.2.643.5.1.13.13.11.1070);</w:t>
      </w:r>
    </w:p>
    <w:p w14:paraId="5754B967">
      <w:pPr>
        <w:pStyle w:val="51"/>
      </w:pPr>
      <w:r>
        <w:t>«Врач» — сведения об основном медицинском работнике по данным ФРМР;</w:t>
      </w:r>
    </w:p>
    <w:p w14:paraId="68598E24">
      <w:pPr>
        <w:pStyle w:val="51"/>
      </w:pPr>
      <w:r>
        <w:t>«Медсестра/Второй специалист»;</w:t>
      </w:r>
    </w:p>
    <w:p w14:paraId="4EAEF73C">
      <w:pPr>
        <w:pStyle w:val="51"/>
      </w:pPr>
      <w:r>
        <w:t>«Наименование МО» — наименование МО/головной МО;</w:t>
      </w:r>
    </w:p>
    <w:p w14:paraId="294F91D0">
      <w:pPr>
        <w:pStyle w:val="51"/>
      </w:pPr>
      <w:r>
        <w:t>«МО в ОМС» — код МО по справочнику F032 «Реестр медицинских организаций, осуществляющих деятельность в сфере обязательного медицинского страхования (TRMO)»;</w:t>
      </w:r>
    </w:p>
    <w:p w14:paraId="6C99AA4F">
      <w:pPr>
        <w:pStyle w:val="51"/>
      </w:pPr>
      <w:r>
        <w:t>«</w:t>
      </w:r>
      <w:r>
        <w:rPr>
          <w:lang w:val="en-US"/>
        </w:rPr>
        <w:t>OID</w:t>
      </w:r>
      <w:r>
        <w:t xml:space="preserve"> МО» — код МО в ФРМО;</w:t>
      </w:r>
    </w:p>
    <w:p w14:paraId="5E27790E">
      <w:pPr>
        <w:pStyle w:val="51"/>
      </w:pPr>
      <w:r>
        <w:t>«Медкарта/История болезни»;</w:t>
      </w:r>
    </w:p>
    <w:p w14:paraId="2B5BFEB4">
      <w:pPr>
        <w:pStyle w:val="51"/>
      </w:pPr>
      <w:r>
        <w:t>«Источник оплаты» — по справочнику Источники оплаты медицинской помощи (1.2.643.5.1.13.13.11.1039);</w:t>
      </w:r>
    </w:p>
    <w:p w14:paraId="03471975">
      <w:pPr>
        <w:pStyle w:val="51"/>
      </w:pPr>
      <w:r>
        <w:t>«Сумма, руб» — заявленная сумма по документу;</w:t>
      </w:r>
    </w:p>
    <w:p w14:paraId="59A85DB7">
      <w:pPr>
        <w:pStyle w:val="51"/>
      </w:pPr>
      <w:r>
        <w:t>«ФЛК документа»;</w:t>
      </w:r>
    </w:p>
    <w:p w14:paraId="2B2028E0">
      <w:pPr>
        <w:pStyle w:val="51"/>
      </w:pPr>
      <w:r>
        <w:t>«Причина перерасчета» — заполняется при перерасчете СЭФД.</w:t>
      </w:r>
    </w:p>
    <w:p w14:paraId="3C88EC48">
      <w:pPr>
        <w:pStyle w:val="44"/>
      </w:pPr>
      <w:r>
        <w:t>Для просмотра детальных сведений по отдельно взятому СЭФД необходимо дважды нажать на соответствующую запись в «Реестре СЭФД».</w:t>
      </w:r>
    </w:p>
    <w:p w14:paraId="26AD0BD4">
      <w:pPr>
        <w:pStyle w:val="44"/>
      </w:pPr>
      <w:r>
        <w:t>Для обновления реестра СЭФД необходимо нажать кнопку «Найти» в блоке «Фильтр» или воспользоваться клавишей «</w:t>
      </w:r>
      <w:r>
        <w:rPr>
          <w:lang w:val="en-US"/>
        </w:rPr>
        <w:t>F</w:t>
      </w:r>
      <w:r>
        <w:t>5».</w:t>
      </w:r>
    </w:p>
    <w:p w14:paraId="57AB87AD">
      <w:pPr>
        <w:pStyle w:val="39"/>
      </w:pPr>
      <w:bookmarkStart w:id="464" w:name="_Toc149209641"/>
      <w:bookmarkStart w:id="465" w:name="_Ref142477152"/>
      <w:bookmarkStart w:id="466" w:name="_Toc225871511"/>
      <w:bookmarkStart w:id="467" w:name="_Ref143269723"/>
      <w:r>
        <w:t>Редактирование СЭФД</w:t>
      </w:r>
      <w:bookmarkEnd w:id="464"/>
      <w:bookmarkEnd w:id="465"/>
      <w:bookmarkEnd w:id="466"/>
    </w:p>
    <w:p w14:paraId="46AD1061">
      <w:pPr>
        <w:pStyle w:val="44"/>
      </w:pPr>
      <w:r>
        <w:t>Редактирование СЭФД возможно только в рамках открытого отчетного периода.</w:t>
      </w:r>
    </w:p>
    <w:p w14:paraId="0431B342">
      <w:pPr>
        <w:pStyle w:val="44"/>
      </w:pPr>
      <w:r>
        <w:t>Редактирование СЭФД, включенного в несколько счетов, отправленных плательщику, возможно только после получения ответа плательщика по всем счетам, в которые включен СЭФД (статус 220 — «Получен ответ плательщика на несколько счетов»).</w:t>
      </w:r>
    </w:p>
    <w:p w14:paraId="3EC69072">
      <w:pPr>
        <w:pStyle w:val="44"/>
      </w:pPr>
      <w:r>
        <w:t>Для внесения изменений в СЭФД необходимо найти документ в «Реестре СЭФД», открыть СЭФД двойным нажатием на строку записи. В Форме документа нажать кнопку «Редактировать».</w:t>
      </w:r>
    </w:p>
    <w:p w14:paraId="62A034E9">
      <w:pPr>
        <w:pStyle w:val="44"/>
      </w:pPr>
      <w:r>
        <w:t>Внести необходимые изменения в поля разделов в окне редактирования документа и</w:t>
      </w:r>
      <w:r>
        <w:rPr>
          <w:lang w:val="en-US"/>
        </w:rPr>
        <w:t> </w:t>
      </w:r>
      <w:r>
        <w:t>нажать кнопку «Сохранить». Автоматически запускается процедура проверки ФЛК сохранения СЭФД.</w:t>
      </w:r>
    </w:p>
    <w:p w14:paraId="371AC422">
      <w:pPr>
        <w:pStyle w:val="44"/>
      </w:pPr>
      <w:r>
        <w:t xml:space="preserve">Отредактированному СЭФД присваивается статус «110 — Сохранен», автоматически присваивается новая версия, указывается дата и время обновления СЭФД и автор обновления (рис. </w:t>
      </w:r>
      <w:r>
        <w:fldChar w:fldCharType="begin"/>
      </w:r>
      <w:r>
        <w:instrText xml:space="preserve"> REF  _Ref154422726 \h\#\0   \* MERGEFORMAT </w:instrText>
      </w:r>
      <w:r>
        <w:fldChar w:fldCharType="separate"/>
      </w:r>
      <w:r>
        <w:t>111</w:t>
      </w:r>
      <w:r>
        <w:fldChar w:fldCharType="end"/>
      </w:r>
      <w:r>
        <w:t>).</w:t>
      </w:r>
    </w:p>
    <w:p w14:paraId="71BAFFD6">
      <w:pPr>
        <w:pStyle w:val="48"/>
      </w:pPr>
      <w:r>
        <w:drawing>
          <wp:inline distT="0" distB="0" distL="0" distR="0">
            <wp:extent cx="6119495" cy="1699895"/>
            <wp:effectExtent l="19050" t="19050" r="14605" b="14605"/>
            <wp:docPr id="3286941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694188" name="Рисунок 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998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C2903E3">
      <w:pPr>
        <w:pStyle w:val="49"/>
      </w:pPr>
      <w:bookmarkStart w:id="468" w:name="_Ref15442272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111</w:t>
      </w:r>
      <w:r>
        <w:fldChar w:fldCharType="end"/>
      </w:r>
      <w:bookmarkEnd w:id="468"/>
      <w:r>
        <w:t xml:space="preserve"> — Информация о внесении изменений в документ</w:t>
      </w:r>
    </w:p>
    <w:p w14:paraId="52CFA7C6">
      <w:pPr>
        <w:pStyle w:val="44"/>
      </w:pPr>
      <w:r>
        <w:t xml:space="preserve">Обновить статус СЭФД нажатием кнопки </w:t>
      </w:r>
      <w:r>
        <w:rPr>
          <w:lang w:val="en-US"/>
        </w:rPr>
        <w:t>F</w:t>
      </w:r>
      <w:r>
        <w:t>5.</w:t>
      </w:r>
    </w:p>
    <w:p w14:paraId="05562463">
      <w:pPr>
        <w:pStyle w:val="44"/>
      </w:pPr>
      <w:r>
        <w:t>После определения плательщика и распределения СЭФД в счет статус СЭФД примет одно из значений 100 или 200 («Распределен в черновик счета» или «Распределен в черновики нескольких счетов».</w:t>
      </w:r>
    </w:p>
    <w:bookmarkEnd w:id="467"/>
    <w:p w14:paraId="2C8700D8">
      <w:pPr>
        <w:pStyle w:val="39"/>
      </w:pPr>
      <w:bookmarkStart w:id="469" w:name="_Toc225871512"/>
      <w:bookmarkStart w:id="470" w:name="_Ref154569636"/>
      <w:bookmarkStart w:id="471" w:name="_Hlk154482127"/>
      <w:r>
        <w:t>Просмотр результатов ФЛК и МЭК СЭФД</w:t>
      </w:r>
      <w:bookmarkEnd w:id="469"/>
      <w:bookmarkEnd w:id="470"/>
    </w:p>
    <w:bookmarkEnd w:id="471"/>
    <w:p w14:paraId="52382F17">
      <w:pPr>
        <w:pStyle w:val="44"/>
      </w:pPr>
      <w:r>
        <w:t xml:space="preserve">Результаты </w:t>
      </w:r>
      <w:bookmarkStart w:id="472" w:name="_Hlk156219331"/>
      <w:r>
        <w:t xml:space="preserve">проверок форматно-логического контроля (ФЛК) СЭФД и медико-экономического контроля (МЭК) </w:t>
      </w:r>
      <w:bookmarkEnd w:id="472"/>
      <w:r>
        <w:t xml:space="preserve">можно просмотреть в подразделе «Ошибки ФЛК» формы СЭФД (рис. </w:t>
      </w:r>
      <w:r>
        <w:fldChar w:fldCharType="begin"/>
      </w:r>
      <w:r>
        <w:instrText xml:space="preserve"> REF  _Ref133511524 \h\#\0   \* MERGEFORMAT </w:instrText>
      </w:r>
      <w:r>
        <w:fldChar w:fldCharType="separate"/>
      </w:r>
      <w:r>
        <w:t>112</w:t>
      </w:r>
      <w:r>
        <w:fldChar w:fldCharType="end"/>
      </w:r>
      <w:r>
        <w:t>).</w:t>
      </w:r>
    </w:p>
    <w:p w14:paraId="50737047">
      <w:pPr>
        <w:pStyle w:val="48"/>
      </w:pPr>
      <w:r>
        <w:drawing>
          <wp:inline distT="0" distB="0" distL="0" distR="0">
            <wp:extent cx="6119495" cy="1991360"/>
            <wp:effectExtent l="19050" t="19050" r="14605" b="27940"/>
            <wp:docPr id="3487186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718668" name="Рисунок 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913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A73559">
      <w:pPr>
        <w:pStyle w:val="49"/>
      </w:pPr>
      <w:bookmarkStart w:id="473" w:name="_Ref1335115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112</w:t>
      </w:r>
      <w:r>
        <w:fldChar w:fldCharType="end"/>
      </w:r>
      <w:bookmarkEnd w:id="473"/>
      <w:r>
        <w:t xml:space="preserve"> — Представление информации об ошибках. Раздел «Ошибки ФЛК»</w:t>
      </w:r>
    </w:p>
    <w:p w14:paraId="64B68433">
      <w:pPr>
        <w:pStyle w:val="44"/>
      </w:pPr>
      <w:r>
        <w:t>Выявленные ошибки отображаются в следующих блоках:</w:t>
      </w:r>
    </w:p>
    <w:p w14:paraId="48FA95E2">
      <w:pPr>
        <w:pStyle w:val="51"/>
      </w:pPr>
      <w:r>
        <w:t>«Ошибки по документу» — ошибки, допущенные при заполнении документа. Носят информационный характер и не препятствуют формированию реестра счетов, выполняются асинхронно после сохранения документа;</w:t>
      </w:r>
    </w:p>
    <w:p w14:paraId="5054D485">
      <w:pPr>
        <w:pStyle w:val="51"/>
      </w:pPr>
      <w:r>
        <w:t>«Ошибки по счету» — ошибки, выявленные при формировании счетов с ФЛК счета. Носят информационный характер и не препятствуют формированию и отправке реестра счетов плательщику;</w:t>
      </w:r>
    </w:p>
    <w:p w14:paraId="6169CEDA">
      <w:pPr>
        <w:pStyle w:val="51"/>
      </w:pPr>
      <w:r>
        <w:t>«Ошибки МЭК» — ошибки (браковки), выявленные плательщиком при проведении медико-экономического контроля браковки, полученные от плательщиков.</w:t>
      </w:r>
    </w:p>
    <w:p w14:paraId="1154ABC6">
      <w:pPr>
        <w:pStyle w:val="44"/>
      </w:pPr>
      <w:r>
        <w:t>После составного кода ошибки приведено описание ошибки ФЛК/МЭК СЭФД;</w:t>
      </w:r>
    </w:p>
    <w:p w14:paraId="3331678C">
      <w:pPr>
        <w:pStyle w:val="39"/>
      </w:pPr>
      <w:bookmarkStart w:id="474" w:name="_Toc225871513"/>
      <w:bookmarkStart w:id="475" w:name="_Ref154584018"/>
      <w:bookmarkStart w:id="476" w:name="_Hlk154482237"/>
      <w:r>
        <w:t>Просмотр сведений, попавших в счет</w:t>
      </w:r>
      <w:bookmarkEnd w:id="474"/>
      <w:bookmarkEnd w:id="475"/>
    </w:p>
    <w:p w14:paraId="0070BFAF">
      <w:pPr>
        <w:pStyle w:val="44"/>
      </w:pPr>
      <w:r>
        <w:t xml:space="preserve">Для просмотра сведений, попавших в счет, после получения ответа Плательщика, перейти на вкладку «Информационная посылка» (рис. </w:t>
      </w:r>
      <w:r>
        <w:fldChar w:fldCharType="begin"/>
      </w:r>
      <w:r>
        <w:instrText xml:space="preserve"> REF  _Ref133511567 \h\#\0   \* MERGEFORMAT </w:instrText>
      </w:r>
      <w:r>
        <w:fldChar w:fldCharType="separate"/>
      </w:r>
      <w:r>
        <w:t>113</w:t>
      </w:r>
      <w:r>
        <w:fldChar w:fldCharType="end"/>
      </w:r>
      <w:r>
        <w:t>).</w:t>
      </w:r>
    </w:p>
    <w:p w14:paraId="50FDE9B2">
      <w:pPr>
        <w:pStyle w:val="48"/>
      </w:pPr>
      <w:r>
        <w:drawing>
          <wp:inline distT="0" distB="0" distL="0" distR="0">
            <wp:extent cx="6119495" cy="2301875"/>
            <wp:effectExtent l="19050" t="19050" r="14605" b="22225"/>
            <wp:docPr id="6766655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665579" name="Рисунок 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018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CCBEAB">
      <w:pPr>
        <w:pStyle w:val="49"/>
      </w:pPr>
      <w:bookmarkStart w:id="477" w:name="_Ref1335115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113</w:t>
      </w:r>
      <w:r>
        <w:fldChar w:fldCharType="end"/>
      </w:r>
      <w:bookmarkEnd w:id="477"/>
      <w:r>
        <w:t xml:space="preserve"> — Вкладка «Информационная посылка». Сведения информационной посылки</w:t>
      </w:r>
    </w:p>
    <w:p w14:paraId="3811F13F">
      <w:pPr>
        <w:pStyle w:val="44"/>
      </w:pPr>
      <w:bookmarkStart w:id="478" w:name="_Toc131174708"/>
      <w:r>
        <w:t xml:space="preserve">В панели фильтрации в блоке «Результаты» отображаются сведения о пациенте, рабочая область раздела «Информационная посылка» содержит два блока (рис. </w:t>
      </w:r>
      <w:r>
        <w:fldChar w:fldCharType="begin"/>
      </w:r>
      <w:r>
        <w:instrText xml:space="preserve"> REF  _Ref171087245 \h\#\0   \* MERGEFORMAT </w:instrText>
      </w:r>
      <w:r>
        <w:fldChar w:fldCharType="separate"/>
      </w:r>
      <w:r>
        <w:t>114</w:t>
      </w:r>
      <w:r>
        <w:fldChar w:fldCharType="end"/>
      </w:r>
      <w:r>
        <w:t>):</w:t>
      </w:r>
    </w:p>
    <w:p w14:paraId="098BBB1B">
      <w:pPr>
        <w:pStyle w:val="51"/>
      </w:pPr>
      <w:r>
        <w:t>«Счет»;</w:t>
      </w:r>
    </w:p>
    <w:p w14:paraId="5095B028">
      <w:pPr>
        <w:pStyle w:val="51"/>
      </w:pPr>
      <w:r>
        <w:t>«Запись счета».</w:t>
      </w:r>
    </w:p>
    <w:p w14:paraId="3018A6A2">
      <w:pPr>
        <w:pStyle w:val="48"/>
      </w:pPr>
      <w:bookmarkStart w:id="479" w:name="_Ref149127194"/>
      <w:r>
        <w:drawing>
          <wp:inline distT="0" distB="0" distL="0" distR="0">
            <wp:extent cx="6119495" cy="2948940"/>
            <wp:effectExtent l="19050" t="19050" r="14605" b="22860"/>
            <wp:docPr id="19634481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448197" name="Рисунок 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489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5DA075">
      <w:pPr>
        <w:pStyle w:val="49"/>
      </w:pPr>
      <w:bookmarkStart w:id="480" w:name="_Ref1710872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114</w:t>
      </w:r>
      <w:r>
        <w:fldChar w:fldCharType="end"/>
      </w:r>
      <w:bookmarkEnd w:id="479"/>
      <w:bookmarkEnd w:id="480"/>
      <w:r>
        <w:t xml:space="preserve"> — Информационная посылка</w:t>
      </w:r>
    </w:p>
    <w:p w14:paraId="3DE18018">
      <w:pPr>
        <w:pStyle w:val="44"/>
      </w:pPr>
      <w:r>
        <w:t>В блоке «Счет» отображаются версии счета, в который включен СЭФД при формировании счета МО.</w:t>
      </w:r>
    </w:p>
    <w:p w14:paraId="0EFBFF86">
      <w:pPr>
        <w:pStyle w:val="44"/>
      </w:pPr>
      <w:r>
        <w:t>Имя файла отображается в виде: ДДГГММПППППОООООО-ТВВ-НННН.</w:t>
      </w:r>
    </w:p>
    <w:p w14:paraId="7486733F">
      <w:pPr>
        <w:pStyle w:val="54"/>
      </w:pPr>
      <w:r>
        <w:t xml:space="preserve">     где ДД — тип документа;</w:t>
      </w:r>
    </w:p>
    <w:p w14:paraId="6500213C">
      <w:pPr>
        <w:pStyle w:val="44"/>
      </w:pPr>
      <w:r>
        <w:t>ГГ — последние две цифры года;</w:t>
      </w:r>
    </w:p>
    <w:p w14:paraId="5107E39F">
      <w:pPr>
        <w:pStyle w:val="44"/>
      </w:pPr>
      <w:r>
        <w:t>ММ — порядковый номер отчетного месяц;</w:t>
      </w:r>
    </w:p>
    <w:p w14:paraId="36B42906">
      <w:pPr>
        <w:pStyle w:val="44"/>
      </w:pPr>
      <w:r>
        <w:t>ППППП — код плательщика по справочнику F020 (если в качестве СМО выступает ТФОМС – по маске 000ПП, где ПП – код ТФОМС по справочнику F001);</w:t>
      </w:r>
    </w:p>
    <w:p w14:paraId="389691FD">
      <w:pPr>
        <w:pStyle w:val="44"/>
      </w:pPr>
      <w:r>
        <w:t>ОООООО — код МО в ФРМО.МО в системе ОМС (OMS_ID);</w:t>
      </w:r>
    </w:p>
    <w:p w14:paraId="036B6357">
      <w:pPr>
        <w:pStyle w:val="44"/>
      </w:pPr>
      <w:r>
        <w:t>Т — код бизнес-процесса;</w:t>
      </w:r>
    </w:p>
    <w:p w14:paraId="49CEBE92">
      <w:pPr>
        <w:pStyle w:val="44"/>
      </w:pPr>
      <w:r>
        <w:t>ВВ — подвид бизнес-процесса;</w:t>
      </w:r>
    </w:p>
    <w:p w14:paraId="1B71C933">
      <w:pPr>
        <w:pStyle w:val="44"/>
      </w:pPr>
      <w:r>
        <w:t>НННН — номер версии счета.</w:t>
      </w:r>
    </w:p>
    <w:p w14:paraId="77405B0D">
      <w:pPr>
        <w:pStyle w:val="44"/>
      </w:pPr>
      <w:r>
        <w:t>Информация о версии счета содержит следующие основные сведения:</w:t>
      </w:r>
    </w:p>
    <w:p w14:paraId="1C41744C">
      <w:pPr>
        <w:pStyle w:val="51"/>
      </w:pPr>
      <w:r>
        <w:t>«Дата» — дата и время создания счета;</w:t>
      </w:r>
    </w:p>
    <w:p w14:paraId="7AF20465">
      <w:pPr>
        <w:pStyle w:val="51"/>
      </w:pPr>
      <w:r>
        <w:t>«Код записи счета» — идентификатор записи счета;</w:t>
      </w:r>
    </w:p>
    <w:p w14:paraId="319F8E81">
      <w:pPr>
        <w:pStyle w:val="51"/>
      </w:pPr>
      <w:r>
        <w:t>«Код версии счета» — код версии счета,</w:t>
      </w:r>
    </w:p>
    <w:p w14:paraId="512AAF6C">
      <w:pPr>
        <w:pStyle w:val="51"/>
      </w:pPr>
      <w:r>
        <w:t>«Реестровый номер МО» — код медицинской организации;</w:t>
      </w:r>
    </w:p>
    <w:p w14:paraId="6D98A3CA">
      <w:pPr>
        <w:pStyle w:val="51"/>
      </w:pPr>
      <w:r>
        <w:t>«Отчетный год» — год формирования счета;</w:t>
      </w:r>
    </w:p>
    <w:p w14:paraId="13D06942">
      <w:pPr>
        <w:pStyle w:val="51"/>
      </w:pPr>
      <w:r>
        <w:t>«Отчетный месяц» — месяц формирования счета;</w:t>
      </w:r>
    </w:p>
    <w:p w14:paraId="3D62B99B">
      <w:pPr>
        <w:pStyle w:val="51"/>
      </w:pPr>
      <w:r>
        <w:t>«Номер счета»</w:t>
      </w:r>
      <w:r>
        <w:rPr>
          <w:lang w:val="en-US"/>
        </w:rPr>
        <w:t>;</w:t>
      </w:r>
    </w:p>
    <w:p w14:paraId="0F7744BB">
      <w:pPr>
        <w:pStyle w:val="51"/>
      </w:pPr>
      <w:r>
        <w:t>«Дата выставленного счета» — дата формирования счета;</w:t>
      </w:r>
    </w:p>
    <w:p w14:paraId="6D94701B">
      <w:pPr>
        <w:pStyle w:val="51"/>
      </w:pPr>
      <w:r>
        <w:t>«Реестровый номер плательщика» — по справочнику F019 «Справочник организаций, осуществляющих оплату медицинской помощи по обязательному медицинскому страхованию».</w:t>
      </w:r>
    </w:p>
    <w:p w14:paraId="729DA228">
      <w:pPr>
        <w:pStyle w:val="44"/>
      </w:pPr>
      <w:r>
        <w:t xml:space="preserve">При нажатии на блок со сведениями о счете, в блоке «Запись счета» отобразится содержимое тэга &lt;ZAP&gt; из U-файла (рис. </w:t>
      </w:r>
      <w:r>
        <w:fldChar w:fldCharType="begin"/>
      </w:r>
      <w:r>
        <w:instrText xml:space="preserve"> REF  _Ref154157800 \h\#\0   \* MERGEFORMAT </w:instrText>
      </w:r>
      <w:r>
        <w:fldChar w:fldCharType="separate"/>
      </w:r>
      <w:r>
        <w:t>115</w:t>
      </w:r>
      <w:r>
        <w:fldChar w:fldCharType="end"/>
      </w:r>
      <w:r>
        <w:t xml:space="preserve">) в формате </w:t>
      </w:r>
      <w:r>
        <w:rPr>
          <w:lang w:val="en-US"/>
        </w:rPr>
        <w:t>XML</w:t>
      </w:r>
      <w:r>
        <w:t>. Чтобы скопировать содержимое записи счета нажать кнопку «Скопировать содержимое».</w:t>
      </w:r>
    </w:p>
    <w:p w14:paraId="37EBFA7B">
      <w:pPr>
        <w:pStyle w:val="48"/>
      </w:pPr>
      <w:r>
        <w:drawing>
          <wp:inline distT="0" distB="0" distL="0" distR="0">
            <wp:extent cx="6119495" cy="3780790"/>
            <wp:effectExtent l="19050" t="19050" r="14605" b="10160"/>
            <wp:docPr id="2181464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146401" name="Рисунок 1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807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D96DC3">
      <w:pPr>
        <w:pStyle w:val="49"/>
      </w:pPr>
      <w:bookmarkStart w:id="481" w:name="_Ref1541578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115</w:t>
      </w:r>
      <w:r>
        <w:fldChar w:fldCharType="end"/>
      </w:r>
      <w:bookmarkEnd w:id="481"/>
      <w:r>
        <w:t xml:space="preserve"> — Запись счета. Содержимое тэга &lt;ZAP&gt; из U-файла.</w:t>
      </w:r>
    </w:p>
    <w:p w14:paraId="52296C51">
      <w:pPr>
        <w:pStyle w:val="39"/>
      </w:pPr>
      <w:bookmarkStart w:id="482" w:name="_Ref185352325"/>
      <w:bookmarkStart w:id="483" w:name="_Toc185352681"/>
      <w:bookmarkStart w:id="484" w:name="_Toc225871514"/>
      <w:r>
        <w:t xml:space="preserve">Просмотр сведений в составе СЭФД по разделу </w:t>
      </w:r>
      <w:r>
        <w:rPr>
          <w:lang w:val="en-US"/>
        </w:rPr>
        <w:t>XV</w:t>
      </w:r>
      <w:r>
        <w:t xml:space="preserve"> Правил ОМС</w:t>
      </w:r>
      <w:bookmarkEnd w:id="482"/>
      <w:bookmarkEnd w:id="483"/>
      <w:bookmarkEnd w:id="484"/>
    </w:p>
    <w:p w14:paraId="1A2D3C57">
      <w:pPr>
        <w:pStyle w:val="44"/>
      </w:pPr>
      <w:r>
        <w:t xml:space="preserve">В разделе «Реестр СЭФД» реализован блок фильтра «Приказ 108н», позволяющий задать параметры поиска и получить сведения в составе СЭФД, переданные медицинской организацией в соответствии с Приказом 108н (раздел </w:t>
      </w:r>
      <w:r>
        <w:rPr>
          <w:lang w:val="en-US"/>
        </w:rPr>
        <w:t>XV</w:t>
      </w:r>
      <w:r>
        <w:t xml:space="preserve"> «Порядок информационного сопровождения застрахованных лиц на всех этапах оказания им медицинской помощи» Правил ОМС</w:t>
      </w:r>
      <w:r>
        <w:rPr>
          <w:rStyle w:val="14"/>
        </w:rPr>
        <w:footnoteReference w:id="1"/>
      </w:r>
      <w:r>
        <w:t>).</w:t>
      </w:r>
    </w:p>
    <w:p w14:paraId="54709212">
      <w:pPr>
        <w:pStyle w:val="44"/>
      </w:pPr>
      <w:r>
        <w:t xml:space="preserve">Описание параметров фильтра и вид сведений в составе СЭФД, соответствующих пунктам раздела </w:t>
      </w:r>
      <w:r>
        <w:rPr>
          <w:lang w:val="en-US"/>
        </w:rPr>
        <w:t>XV</w:t>
      </w:r>
      <w:r>
        <w:t xml:space="preserve"> Правил ОМС, приведено в таблице </w:t>
      </w:r>
      <w:r>
        <w:fldChar w:fldCharType="begin"/>
      </w:r>
      <w:r>
        <w:instrText xml:space="preserve"> REF  _Ref185349540 \h\#\0   \* MERGEFORMAT </w:instrText>
      </w:r>
      <w:r>
        <w:fldChar w:fldCharType="separate"/>
      </w:r>
      <w:r>
        <w:t>2</w:t>
      </w:r>
      <w:r>
        <w:fldChar w:fldCharType="end"/>
      </w:r>
      <w:r>
        <w:t>.</w:t>
      </w:r>
    </w:p>
    <w:p w14:paraId="7DA0ACC7">
      <w:pPr>
        <w:pStyle w:val="79"/>
      </w:pPr>
      <w:bookmarkStart w:id="485" w:name="_Ref185349540"/>
      <w:r>
        <w:rPr>
          <w:rStyle w:val="47"/>
        </w:rPr>
        <w:t>Таблица</w:t>
      </w:r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2</w:t>
      </w:r>
      <w:r>
        <w:fldChar w:fldCharType="end"/>
      </w:r>
      <w:bookmarkEnd w:id="485"/>
      <w:r>
        <w:t xml:space="preserve"> — Параметры фильтрации по Приказу 108н</w:t>
      </w:r>
    </w:p>
    <w:tbl>
      <w:tblPr>
        <w:tblStyle w:val="3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431"/>
        <w:gridCol w:w="8320"/>
      </w:tblGrid>
      <w:tr w14:paraId="17E37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  <w:tcBorders>
              <w:bottom w:val="double" w:color="auto" w:sz="4" w:space="0"/>
            </w:tcBorders>
          </w:tcPr>
          <w:p w14:paraId="1811523F">
            <w:pPr>
              <w:pStyle w:val="101"/>
            </w:pPr>
            <w:r>
              <w:t>Параметр фильтра</w:t>
            </w:r>
          </w:p>
        </w:tc>
        <w:tc>
          <w:tcPr>
            <w:tcW w:w="4266" w:type="pct"/>
            <w:tcBorders>
              <w:bottom w:val="double" w:color="auto" w:sz="4" w:space="0"/>
            </w:tcBorders>
          </w:tcPr>
          <w:p w14:paraId="6B8CE96A">
            <w:pPr>
              <w:pStyle w:val="101"/>
            </w:pPr>
            <w:r>
              <w:t>Вид сведений в составе СЭФД</w:t>
            </w:r>
          </w:p>
        </w:tc>
      </w:tr>
      <w:tr w14:paraId="1EF2C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  <w:tcBorders>
              <w:top w:val="double" w:color="auto" w:sz="4" w:space="0"/>
            </w:tcBorders>
          </w:tcPr>
          <w:p w14:paraId="0DB2101D">
            <w:pPr>
              <w:pStyle w:val="54"/>
              <w:rPr>
                <w:lang w:val="en-US"/>
              </w:rPr>
            </w:pPr>
            <w:r>
              <w:rPr>
                <w:lang w:val="en-US"/>
              </w:rPr>
              <w:t>263 пункт В</w:t>
            </w:r>
          </w:p>
        </w:tc>
        <w:tc>
          <w:tcPr>
            <w:tcW w:w="4266" w:type="pct"/>
            <w:tcBorders>
              <w:top w:val="double" w:color="auto" w:sz="4" w:space="0"/>
            </w:tcBorders>
          </w:tcPr>
          <w:p w14:paraId="0320DE0A">
            <w:pPr>
              <w:pStyle w:val="54"/>
            </w:pPr>
            <w:r>
              <w:t>Сведения о застрахованных лицах, госпитализированных за день по направлениям, в том числе на оказание высокотехнологичной медицинской помощи в плановом порядке в разрезе профилей (отделений) медицинской помощи (в том числе в разрезе медицинских организаций, направивших застрахованное лицо на госпитализацию)</w:t>
            </w:r>
          </w:p>
        </w:tc>
      </w:tr>
      <w:tr w14:paraId="66F65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</w:tcPr>
          <w:p w14:paraId="63B9AD47">
            <w:pPr>
              <w:pStyle w:val="54"/>
            </w:pPr>
            <w:r>
              <w:rPr>
                <w:lang w:val="en-US"/>
              </w:rPr>
              <w:t xml:space="preserve">263 пункт </w:t>
            </w:r>
            <w:r>
              <w:t>Г</w:t>
            </w:r>
          </w:p>
        </w:tc>
        <w:tc>
          <w:tcPr>
            <w:tcW w:w="4266" w:type="pct"/>
          </w:tcPr>
          <w:p w14:paraId="65396C22">
            <w:pPr>
              <w:pStyle w:val="54"/>
            </w:pPr>
            <w:r>
              <w:t>Сведения о застрахованных лицах, госпитализированных в экстренном порядке и выписанных после экстренных госпитализаций в разрезе профилей (отделений) медицинской помощи</w:t>
            </w:r>
          </w:p>
        </w:tc>
      </w:tr>
      <w:tr w14:paraId="1990A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</w:tcPr>
          <w:p w14:paraId="129DE2B1">
            <w:pPr>
              <w:pStyle w:val="54"/>
            </w:pPr>
            <w:r>
              <w:rPr>
                <w:lang w:val="en-US"/>
              </w:rPr>
              <w:t xml:space="preserve">263 пункт </w:t>
            </w:r>
            <w:r>
              <w:t>Д</w:t>
            </w:r>
          </w:p>
        </w:tc>
        <w:tc>
          <w:tcPr>
            <w:tcW w:w="4266" w:type="pct"/>
          </w:tcPr>
          <w:p w14:paraId="4E0E66F5">
            <w:pPr>
              <w:pStyle w:val="54"/>
            </w:pPr>
            <w:r>
              <w:t>Сведения о застрахованных лицах, в отношении которых не состоялась запланированная госпитализация, в том числе из-за отсутствия медицинских показаний</w:t>
            </w:r>
          </w:p>
        </w:tc>
      </w:tr>
      <w:tr w14:paraId="42F323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</w:tcPr>
          <w:p w14:paraId="5DD12321">
            <w:pPr>
              <w:pStyle w:val="54"/>
            </w:pPr>
            <w:r>
              <w:t>263 пункт Е</w:t>
            </w:r>
          </w:p>
        </w:tc>
        <w:tc>
          <w:tcPr>
            <w:tcW w:w="4266" w:type="pct"/>
          </w:tcPr>
          <w:p w14:paraId="3B3D8A65">
            <w:pPr>
              <w:pStyle w:val="54"/>
            </w:pPr>
            <w:r>
              <w:t>Сведения о застрахованных лицах, получивших направление в выбранную медицинскую организацию на госпитализацию в разрезе профилей (отделений) медицинской помощи, включая дату госпитализации</w:t>
            </w:r>
          </w:p>
        </w:tc>
      </w:tr>
      <w:tr w14:paraId="7F246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734" w:type="pct"/>
          </w:tcPr>
          <w:p w14:paraId="04AA904A">
            <w:pPr>
              <w:pStyle w:val="54"/>
            </w:pPr>
            <w:r>
              <w:t>264</w:t>
            </w:r>
          </w:p>
        </w:tc>
        <w:tc>
          <w:tcPr>
            <w:tcW w:w="4266" w:type="pct"/>
          </w:tcPr>
          <w:p w14:paraId="1E6E0E39">
            <w:pPr>
              <w:pStyle w:val="54"/>
            </w:pPr>
            <w:r>
              <w:t>Сведения о застрахованных лицах за истекшие сутки, получивших направление в медицинскую организацию на госпитализацию в разрезе профилей (отделений) медицинской помощи, включая дату госпитализации и дату выписки</w:t>
            </w:r>
          </w:p>
        </w:tc>
      </w:tr>
    </w:tbl>
    <w:p w14:paraId="31D228D2">
      <w:pPr>
        <w:pStyle w:val="44"/>
      </w:pPr>
    </w:p>
    <w:p w14:paraId="6674DE9F">
      <w:pPr>
        <w:pStyle w:val="44"/>
      </w:pPr>
      <w:r>
        <w:t xml:space="preserve">Для поиска и просмотра сведений необходимо в блоке «Приказ 108» панели фильтрации задать параметры поиска, выбрав значение в раскрывающемся списке (рис. </w:t>
      </w:r>
      <w:r>
        <w:fldChar w:fldCharType="begin"/>
      </w:r>
      <w:r>
        <w:instrText xml:space="preserve"> REF  _Ref185355646 \h\#\0   \* MERGEFORMAT </w:instrText>
      </w:r>
      <w:r>
        <w:fldChar w:fldCharType="separate"/>
      </w:r>
      <w:r>
        <w:t>116</w:t>
      </w:r>
      <w:r>
        <w:fldChar w:fldCharType="end"/>
      </w:r>
      <w:r>
        <w:t>), и нажать кнопку «Найти».</w:t>
      </w:r>
    </w:p>
    <w:p w14:paraId="40F4E361">
      <w:pPr>
        <w:pStyle w:val="48"/>
      </w:pPr>
      <w:r>
        <w:drawing>
          <wp:inline distT="0" distB="0" distL="0" distR="0">
            <wp:extent cx="1799590" cy="4174490"/>
            <wp:effectExtent l="19050" t="19050" r="10160" b="16510"/>
            <wp:docPr id="1917596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596938" name="Рисунок 1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41750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C3E6F8">
      <w:pPr>
        <w:pStyle w:val="49"/>
      </w:pPr>
      <w:bookmarkStart w:id="486" w:name="_Ref1853556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116</w:t>
      </w:r>
      <w:r>
        <w:fldChar w:fldCharType="end"/>
      </w:r>
      <w:bookmarkEnd w:id="486"/>
      <w:r>
        <w:t xml:space="preserve"> — Реестр СЭФД. Блок фильтра «Приказ 108н»</w:t>
      </w:r>
    </w:p>
    <w:p w14:paraId="2F806CB2">
      <w:pPr>
        <w:pStyle w:val="44"/>
      </w:pPr>
      <w:r>
        <w:t>После нажатия кнопки «Найти» в рабочей области «Реестр СЭФД» отобразится список СЭФД, содержащих сведения, удовлетворяющие поисковому запросу.</w:t>
      </w:r>
    </w:p>
    <w:p w14:paraId="555DAB5C">
      <w:pPr>
        <w:pStyle w:val="44"/>
      </w:pPr>
      <w:r>
        <w:t>Просмотреть сведения о медицинской помощи, оказанной застрахованному лицу можно в карточке СЭФД. Для перехода в карточку СЭФД необходимо выбрать соответствующую запись в «Реестре СЭФД».</w:t>
      </w:r>
    </w:p>
    <w:bookmarkEnd w:id="476"/>
    <w:bookmarkEnd w:id="478"/>
    <w:p w14:paraId="5354DD5B">
      <w:pPr>
        <w:pStyle w:val="38"/>
      </w:pPr>
      <w:bookmarkStart w:id="487" w:name="_Ref154663028"/>
      <w:bookmarkStart w:id="488" w:name="_Toc225871515"/>
      <w:r>
        <w:t>Формирование счетов и реестра счетов</w:t>
      </w:r>
      <w:bookmarkEnd w:id="487"/>
      <w:bookmarkEnd w:id="488"/>
    </w:p>
    <w:p w14:paraId="79BCCE49">
      <w:pPr>
        <w:pStyle w:val="39"/>
        <w:rPr>
          <w:lang w:eastAsia="en-US"/>
        </w:rPr>
      </w:pPr>
      <w:bookmarkStart w:id="489" w:name="_Toc225871516"/>
      <w:bookmarkStart w:id="490" w:name="_Toc149209650"/>
      <w:bookmarkStart w:id="491" w:name="_Ref147163104"/>
      <w:r>
        <w:rPr>
          <w:lang w:eastAsia="en-US"/>
        </w:rPr>
        <w:t>Просмотр реестра счетов</w:t>
      </w:r>
      <w:bookmarkEnd w:id="489"/>
      <w:bookmarkEnd w:id="490"/>
      <w:bookmarkEnd w:id="491"/>
    </w:p>
    <w:p w14:paraId="67D3DC31">
      <w:pPr>
        <w:pStyle w:val="44"/>
      </w:pPr>
      <w:r>
        <w:t>В разделе «Реестр счетов» отображаются сформированные, опубликованные и потенциальные счета МО, а также общая информация по каждому из них.</w:t>
      </w:r>
    </w:p>
    <w:p w14:paraId="08F8A503">
      <w:pPr>
        <w:pStyle w:val="44"/>
      </w:pPr>
      <w:r>
        <w:t>Потенциальный счет, это счет МО с «ТПГГ и ПГГ», по которой нельзя подавать счета.</w:t>
      </w:r>
    </w:p>
    <w:p w14:paraId="301963C7">
      <w:pPr>
        <w:pStyle w:val="46"/>
      </w:pPr>
      <w:r>
        <w:rPr>
          <w:rStyle w:val="47"/>
        </w:rPr>
        <w:t>Примечание</w:t>
      </w:r>
      <w:r>
        <w:t xml:space="preserve"> — Возможность подачи счета по «ТПГГ и ПГГ» определяется по справочнику F039 «Справочник договоров, заключённых в рамках территориальных программ обязательного медицинского страхования».</w:t>
      </w:r>
    </w:p>
    <w:p w14:paraId="10E248A0">
      <w:pPr>
        <w:pStyle w:val="44"/>
      </w:pPr>
      <w:r>
        <w:t>Потенциальный счет обладает следующими особенностями:</w:t>
      </w:r>
    </w:p>
    <w:p w14:paraId="45B33268">
      <w:pPr>
        <w:pStyle w:val="51"/>
      </w:pPr>
      <w:r>
        <w:t>у такого счета в поле «Тип счета» находится значение «NOVALUE»;</w:t>
      </w:r>
    </w:p>
    <w:p w14:paraId="06A194D4">
      <w:pPr>
        <w:pStyle w:val="51"/>
      </w:pPr>
      <w:r>
        <w:t>в этот счет не включаются СЭФД, его нельзя сформировать, подписать и отправить плательщику.</w:t>
      </w:r>
    </w:p>
    <w:p w14:paraId="5B42CBBE">
      <w:pPr>
        <w:pStyle w:val="44"/>
      </w:pPr>
      <w:r>
        <w:t>В случае изменения договора на оказание услуг ОМС и предоставлению МО с данным «ТПГГ и ПГГ» права выставлять счета, в потенциальный счет начнут включаться СЭФД, а также станут доступны действия аналогичные обычному счету.</w:t>
      </w:r>
    </w:p>
    <w:p w14:paraId="2C8F105E">
      <w:pPr>
        <w:pStyle w:val="44"/>
      </w:pPr>
      <w:bookmarkStart w:id="492" w:name="_Hlk143679649"/>
      <w:r>
        <w:t>Для перехода в раздел реестра счетов нажать в ленте главного меню вкладку «Реестр счетов».</w:t>
      </w:r>
    </w:p>
    <w:bookmarkEnd w:id="492"/>
    <w:p w14:paraId="624BDC06">
      <w:pPr>
        <w:pStyle w:val="44"/>
      </w:pPr>
      <w:r>
        <w:t xml:space="preserve">В рабочей области отобразится «Реестр счетов», содержащий список счетов (рис. </w:t>
      </w:r>
      <w:r>
        <w:fldChar w:fldCharType="begin"/>
      </w:r>
      <w:r>
        <w:instrText xml:space="preserve"> REF  _Ref146528471 \h\#\0   \* MERGEFORMAT </w:instrText>
      </w:r>
      <w:r>
        <w:fldChar w:fldCharType="separate"/>
      </w:r>
      <w:r>
        <w:t>117</w:t>
      </w:r>
      <w:r>
        <w:fldChar w:fldCharType="end"/>
      </w:r>
      <w:r>
        <w:t>).</w:t>
      </w:r>
    </w:p>
    <w:p w14:paraId="55C307A9">
      <w:pPr>
        <w:pStyle w:val="44"/>
      </w:pPr>
      <w:r>
        <w:t>Для головной МО отображаются следующие счета:</w:t>
      </w:r>
    </w:p>
    <w:p w14:paraId="3609CC51">
      <w:pPr>
        <w:pStyle w:val="51"/>
      </w:pPr>
      <w:r>
        <w:t>счета с «ТПГГ и ПГГ», по которым возможно подавать счета;</w:t>
      </w:r>
    </w:p>
    <w:p w14:paraId="30F004D0">
      <w:pPr>
        <w:pStyle w:val="51"/>
      </w:pPr>
      <w:r>
        <w:t>счета ОСП с «ТПГГ и ПГГ», по которым возможно выставлять счета;</w:t>
      </w:r>
    </w:p>
    <w:p w14:paraId="02F55AAF">
      <w:pPr>
        <w:pStyle w:val="51"/>
      </w:pPr>
      <w:r>
        <w:t>потенциальные счета ОСП c «ТПГГ и ПГГ», по которым невозможна подача счета.</w:t>
      </w:r>
    </w:p>
    <w:p w14:paraId="5E96ACDA">
      <w:pPr>
        <w:pStyle w:val="44"/>
      </w:pPr>
      <w:r>
        <w:t>Для Филиала МО отображаются следующие счета:</w:t>
      </w:r>
    </w:p>
    <w:p w14:paraId="19A4AB1E">
      <w:pPr>
        <w:pStyle w:val="51"/>
      </w:pPr>
      <w:r>
        <w:t>счета «ТПГГ и ПГГ», по которым возможна подача счета;</w:t>
      </w:r>
    </w:p>
    <w:p w14:paraId="044439E7">
      <w:pPr>
        <w:pStyle w:val="51"/>
      </w:pPr>
      <w:r>
        <w:t>счета головной МО с «ТПГГ и ПГГ», по которым возможна подача счета (если у Филиала нет «ТПГГ и ПГГ», по которым возможна подача счета);</w:t>
      </w:r>
    </w:p>
    <w:p w14:paraId="5D455293">
      <w:pPr>
        <w:pStyle w:val="51"/>
      </w:pPr>
      <w:r>
        <w:t>потенциальные счета Филиала с «ТПГГ и ПГГ», по которым невозможна подача счета.</w:t>
      </w:r>
    </w:p>
    <w:p w14:paraId="07739F8C">
      <w:pPr>
        <w:pStyle w:val="46"/>
      </w:pPr>
      <w:r>
        <w:rPr>
          <w:rStyle w:val="47"/>
        </w:rPr>
        <w:t>Примечание</w:t>
      </w:r>
      <w:r>
        <w:t xml:space="preserve"> — Для пользователя Филиала не предусмотрена возможность перехода в персональный счет головной МО.</w:t>
      </w:r>
    </w:p>
    <w:p w14:paraId="79BC7694">
      <w:pPr>
        <w:pStyle w:val="44"/>
      </w:pPr>
      <w:r>
        <w:t>Текущее состояние счета отображается в поле «Статус счета».</w:t>
      </w:r>
    </w:p>
    <w:p w14:paraId="6C6C27FE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3402965"/>
            <wp:effectExtent l="19050" t="19050" r="14605" b="26035"/>
            <wp:docPr id="9783257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325711" name="Рисунок 2"/>
                    <pic:cNvPicPr>
                      <a:picLocks noChangeAspect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029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EE0FBBE">
      <w:pPr>
        <w:pStyle w:val="49"/>
      </w:pPr>
      <w:bookmarkStart w:id="493" w:name="_Ref14652847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117</w:t>
      </w:r>
      <w:r>
        <w:fldChar w:fldCharType="end"/>
      </w:r>
      <w:bookmarkEnd w:id="493"/>
      <w:r>
        <w:t xml:space="preserve"> — Реестр счетов</w:t>
      </w:r>
    </w:p>
    <w:p w14:paraId="48269079">
      <w:pPr>
        <w:pStyle w:val="44"/>
      </w:pPr>
      <w:r>
        <w:t>Табличная часть реестра счетов содержит следующие столбцы:</w:t>
      </w:r>
    </w:p>
    <w:p w14:paraId="0A8153E4">
      <w:pPr>
        <w:pStyle w:val="51"/>
      </w:pPr>
      <w:bookmarkStart w:id="494" w:name="_Hlk146814761"/>
      <w:bookmarkStart w:id="495" w:name="_Hlk154480573"/>
      <w:r>
        <w:t>поле выбора элемента списка (записи счета);</w:t>
      </w:r>
    </w:p>
    <w:bookmarkEnd w:id="494"/>
    <w:p w14:paraId="1E7C14D1">
      <w:pPr>
        <w:pStyle w:val="51"/>
      </w:pPr>
      <w:r>
        <w:t>«№пп» — Номер записи о счете;</w:t>
      </w:r>
    </w:p>
    <w:p w14:paraId="3859EBE9">
      <w:pPr>
        <w:pStyle w:val="51"/>
      </w:pPr>
      <w:r>
        <w:t>«ТПГГ и ПГГ» — код МО в ОМС и краткое наименование МО;</w:t>
      </w:r>
    </w:p>
    <w:p w14:paraId="1937583D">
      <w:pPr>
        <w:pStyle w:val="51"/>
      </w:pPr>
      <w:r>
        <w:t>«Плательщик» — краткое наименование плательщика;</w:t>
      </w:r>
    </w:p>
    <w:p w14:paraId="7B40EC7B">
      <w:pPr>
        <w:pStyle w:val="51"/>
      </w:pPr>
      <w:r>
        <w:t xml:space="preserve">«Тип счета» — смотри </w:t>
      </w:r>
      <w:r>
        <w:fldChar w:fldCharType="begin"/>
      </w:r>
      <w:r>
        <w:instrText xml:space="preserve"> REF _Ref225439903 \n \h </w:instrText>
      </w:r>
      <w:r>
        <w:fldChar w:fldCharType="separate"/>
      </w:r>
      <w:r>
        <w:t>Приложение Б</w:t>
      </w:r>
      <w:r>
        <w:fldChar w:fldCharType="end"/>
      </w:r>
      <w:r>
        <w:t>;</w:t>
      </w:r>
    </w:p>
    <w:p w14:paraId="04BD201A">
      <w:pPr>
        <w:pStyle w:val="51"/>
      </w:pPr>
      <w:r>
        <w:t>«Статус счета» — статус счета, в том числе технический статус счета «Черновик»;</w:t>
      </w:r>
    </w:p>
    <w:p w14:paraId="6D60F8DE">
      <w:pPr>
        <w:pStyle w:val="51"/>
      </w:pPr>
      <w:r>
        <w:t>«ИД счета» - идентификатор счета в подсистеме ФПУМП ГИС ОМС;</w:t>
      </w:r>
    </w:p>
    <w:p w14:paraId="34CA4295">
      <w:pPr>
        <w:pStyle w:val="51"/>
      </w:pPr>
      <w:r>
        <w:t>«Версия счета» - номер версии счета;</w:t>
      </w:r>
    </w:p>
    <w:p w14:paraId="66852AD5">
      <w:pPr>
        <w:pStyle w:val="51"/>
      </w:pPr>
      <w:r>
        <w:t>«Кол-во пациентов» — количество уникальных пациентов в счете МО;</w:t>
      </w:r>
    </w:p>
    <w:p w14:paraId="1DC91FB9">
      <w:pPr>
        <w:pStyle w:val="51"/>
      </w:pPr>
      <w:r>
        <w:t>«В т.ч. ТПН» — количество пациентов, прикрепленных к данной МО (территориально-прикрепленное население в счете МО);</w:t>
      </w:r>
    </w:p>
    <w:p w14:paraId="3EA6BDE8">
      <w:pPr>
        <w:pStyle w:val="51"/>
      </w:pPr>
      <w:r>
        <w:t>«Кол-во ЗС» - количество законченных случаев в счете;</w:t>
      </w:r>
    </w:p>
    <w:p w14:paraId="47D2B6BA">
      <w:pPr>
        <w:pStyle w:val="51"/>
      </w:pPr>
      <w:r>
        <w:t>«Кол-во услуг по тарифу» — количество услуг оплачиваемых по тарифу в счете МО;</w:t>
      </w:r>
    </w:p>
    <w:p w14:paraId="79B8D216">
      <w:pPr>
        <w:pStyle w:val="51"/>
      </w:pPr>
      <w:r>
        <w:t>«Сумма, руб.» — заявленная сумма ЗС в счете;</w:t>
      </w:r>
    </w:p>
    <w:p w14:paraId="42609200">
      <w:pPr>
        <w:pStyle w:val="51"/>
      </w:pPr>
      <w:r>
        <w:t>«Сумма по ПС, руб.» — заявленная сумма ЗС в паспорте счета (для форм СТЦ совпадает со значением в поле «Сумма, руб.»);</w:t>
      </w:r>
    </w:p>
    <w:p w14:paraId="0DCDD528">
      <w:pPr>
        <w:pStyle w:val="51"/>
      </w:pPr>
      <w:r>
        <w:t>«В том числе по ПФ, руб.» — объем норматива по подушевому финансированию (для СМП значение = 0);</w:t>
      </w:r>
    </w:p>
    <w:p w14:paraId="22A26747">
      <w:pPr>
        <w:pStyle w:val="51"/>
      </w:pPr>
      <w:r>
        <w:t>«В том числе по ФАП, руб.» — объем норматива по подушевому финансированию для ФАП (для СТЦ и СМП значение = 0);</w:t>
      </w:r>
    </w:p>
    <w:p w14:paraId="4B60CBEF">
      <w:pPr>
        <w:pStyle w:val="51"/>
      </w:pPr>
      <w:r>
        <w:t>«Стоимость подушевых услуг, рассчитанных по тарифу, руб.» — стоимость единиц счета, у которых определен тип финансирования по подушевому финансированию;</w:t>
      </w:r>
    </w:p>
    <w:p w14:paraId="5B7C720E">
      <w:pPr>
        <w:pStyle w:val="51"/>
      </w:pPr>
      <w:r>
        <w:t>«Сумма МЭК СЭФД, руб.» — сумма МЭК СЭФД в счете МО;</w:t>
      </w:r>
    </w:p>
    <w:p w14:paraId="503061F2">
      <w:pPr>
        <w:pStyle w:val="51"/>
      </w:pPr>
      <w:r>
        <w:t>«Версия МЭК» — версия МЭК в счете МО;</w:t>
      </w:r>
    </w:p>
    <w:p w14:paraId="2C771A20">
      <w:pPr>
        <w:pStyle w:val="51"/>
      </w:pPr>
      <w:r>
        <w:t>«Сумма ФЛК СЭФД» — сумма ЗС, снятых по ФЛК/МЭК СЭФД;</w:t>
      </w:r>
    </w:p>
    <w:p w14:paraId="4357CCA6">
      <w:pPr>
        <w:pStyle w:val="51"/>
      </w:pPr>
      <w:r>
        <w:t>«Сумма ФЛК создания счета, руб.» — сумма ЗС, не попавших в счет из-за ФЛК создания счета;</w:t>
      </w:r>
    </w:p>
    <w:p w14:paraId="7032191C">
      <w:pPr>
        <w:pStyle w:val="51"/>
      </w:pPr>
      <w:r>
        <w:t>«Дата формирования счета» — дата формирования счета в формате дд.мм.гггг;</w:t>
      </w:r>
    </w:p>
    <w:p w14:paraId="4CFA3F0F">
      <w:pPr>
        <w:pStyle w:val="51"/>
      </w:pPr>
      <w:r>
        <w:t>«Дата отправки счета» — дата отправки счета плательщику в формате дд.мм.гггг;</w:t>
      </w:r>
    </w:p>
    <w:p w14:paraId="364FF178">
      <w:pPr>
        <w:pStyle w:val="51"/>
      </w:pPr>
      <w:r>
        <w:t>«Дата публикации МЭК» — дата публикации МЭК Администратором счетов субъекта;</w:t>
      </w:r>
    </w:p>
    <w:p w14:paraId="4CF0BA88">
      <w:pPr>
        <w:pStyle w:val="51"/>
      </w:pPr>
      <w:r>
        <w:t>«Дата отправки ответа» — дата получения ответа плательщика в формате дд.мм.гггг;</w:t>
      </w:r>
    </w:p>
    <w:p w14:paraId="54BD89B0">
      <w:pPr>
        <w:pStyle w:val="51"/>
      </w:pPr>
      <w:r>
        <w:t>«Тип последнего ответа» — тип ответа, отправленного Плательщиком;</w:t>
      </w:r>
    </w:p>
    <w:p w14:paraId="06580CB8">
      <w:pPr>
        <w:pStyle w:val="51"/>
      </w:pPr>
      <w:r>
        <w:t>«Подписант счета» — имя пользователя, который осуществил подпись счета ЭП;</w:t>
      </w:r>
    </w:p>
    <w:p w14:paraId="7AEC91E8">
      <w:pPr>
        <w:pStyle w:val="51"/>
      </w:pPr>
      <w:r>
        <w:t>«Владелец ЭЦП подписания счета» — ФИО пользователя, который осуществил подпись счета ЭЦП;</w:t>
      </w:r>
    </w:p>
    <w:p w14:paraId="60A671C8">
      <w:pPr>
        <w:pStyle w:val="51"/>
      </w:pPr>
      <w:r>
        <w:t>«Субъект РФ МО счета» — субъект РФ, в коротом произведено выставление счета по ОМС.</w:t>
      </w:r>
    </w:p>
    <w:p w14:paraId="5D208D62">
      <w:pPr>
        <w:pStyle w:val="44"/>
      </w:pPr>
      <w:r>
        <w:t>При формировании счета некоторые СЭФД не проходят ФЛК и попадают в папку «Ошибки». Просмотреть информацию о СЭФД с ошибками можно перейдя по ссылке «Ошибки» в столбце «Плательщик» (см. п.</w:t>
      </w:r>
      <w:r>
        <w:fldChar w:fldCharType="begin"/>
      </w:r>
      <w:r>
        <w:instrText xml:space="preserve"> REF _Ref505268483 \r \h </w:instrText>
      </w:r>
      <w:r>
        <w:fldChar w:fldCharType="separate"/>
      </w:r>
      <w:r>
        <w:t>4.3.4</w:t>
      </w:r>
      <w:r>
        <w:fldChar w:fldCharType="end"/>
      </w:r>
      <w:r>
        <w:t>).</w:t>
      </w:r>
    </w:p>
    <w:bookmarkEnd w:id="495"/>
    <w:p w14:paraId="44DCD9F8">
      <w:pPr>
        <w:pStyle w:val="39"/>
      </w:pPr>
      <w:bookmarkStart w:id="496" w:name="_Toc117069389"/>
      <w:bookmarkStart w:id="497" w:name="_Toc131174711"/>
      <w:bookmarkStart w:id="498" w:name="_Toc149209651"/>
      <w:bookmarkStart w:id="499" w:name="_Toc225871517"/>
      <w:bookmarkStart w:id="500" w:name="_Ref142477237"/>
      <w:r>
        <w:t xml:space="preserve">Поиск </w:t>
      </w:r>
      <w:bookmarkEnd w:id="496"/>
      <w:bookmarkEnd w:id="497"/>
      <w:r>
        <w:t>и просмотр счетов</w:t>
      </w:r>
      <w:bookmarkEnd w:id="498"/>
      <w:bookmarkEnd w:id="499"/>
      <w:bookmarkEnd w:id="500"/>
    </w:p>
    <w:p w14:paraId="67A2D21D">
      <w:pPr>
        <w:pStyle w:val="44"/>
      </w:pPr>
      <w:r>
        <w:t xml:space="preserve">Для поиска счетов за определенный период необходимо в блоке «Фильтр» (рис.  </w:t>
      </w:r>
      <w:r>
        <w:fldChar w:fldCharType="begin"/>
      </w:r>
      <w:r>
        <w:instrText xml:space="preserve"> REF  _Ref133511648 \h\#\0   \* MERGEFORMAT </w:instrText>
      </w:r>
      <w:r>
        <w:fldChar w:fldCharType="separate"/>
      </w:r>
      <w:r>
        <w:t>118</w:t>
      </w:r>
      <w:r>
        <w:fldChar w:fldCharType="end"/>
      </w:r>
      <w:r>
        <w:t>) выбрать необходимые параметры поиска и нажать кнопку «Найти».</w:t>
      </w:r>
    </w:p>
    <w:p w14:paraId="688C6CE2">
      <w:pPr>
        <w:pStyle w:val="48"/>
        <w:rPr>
          <w14:ligatures w14:val="standardContextual"/>
        </w:rPr>
      </w:pPr>
    </w:p>
    <w:p w14:paraId="6C638643">
      <w:pPr>
        <w:pStyle w:val="48"/>
      </w:pPr>
      <w:r>
        <w:rPr>
          <w14:ligatures w14:val="standardContextual"/>
        </w:rPr>
        <w:drawing>
          <wp:inline distT="0" distB="0" distL="0" distR="0">
            <wp:extent cx="2981325" cy="4139565"/>
            <wp:effectExtent l="19050" t="19050" r="9525" b="13335"/>
            <wp:docPr id="83308279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082796" name="Рисунок 3"/>
                    <pic:cNvPicPr>
                      <a:picLocks noChangeAspect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84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414049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122AF7A">
      <w:pPr>
        <w:pStyle w:val="49"/>
      </w:pPr>
      <w:bookmarkStart w:id="501" w:name="_Ref1335116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118</w:t>
      </w:r>
      <w:r>
        <w:fldChar w:fldCharType="end"/>
      </w:r>
      <w:bookmarkEnd w:id="501"/>
      <w:r>
        <w:t xml:space="preserve"> — Выбор отчетного периода</w:t>
      </w:r>
    </w:p>
    <w:p w14:paraId="6AB2ADF7">
      <w:pPr>
        <w:pStyle w:val="44"/>
      </w:pPr>
      <w:r>
        <w:t xml:space="preserve">В блоке вывода результатов отобразится «Реестр счетов», содержащий список сформированных счетов за выбранный отчетный период (рис. </w:t>
      </w:r>
      <w:r>
        <w:fldChar w:fldCharType="begin"/>
      </w:r>
      <w:r>
        <w:instrText xml:space="preserve"> REF  _Ref133511991 \h\#\0  \* MERGEFORMAT </w:instrText>
      </w:r>
      <w:r>
        <w:fldChar w:fldCharType="separate"/>
      </w:r>
      <w:r>
        <w:t>119</w:t>
      </w:r>
      <w:r>
        <w:fldChar w:fldCharType="end"/>
      </w:r>
      <w:r>
        <w:t>). Отображение счетов для головной МО и филиала МО аналогично п.</w:t>
      </w:r>
      <w:r>
        <w:fldChar w:fldCharType="begin"/>
      </w:r>
      <w:r>
        <w:instrText xml:space="preserve"> REF _Ref147163104 \w \h </w:instrText>
      </w:r>
      <w:r>
        <w:fldChar w:fldCharType="separate"/>
      </w:r>
      <w:r>
        <w:t>4.3.1</w:t>
      </w:r>
      <w:r>
        <w:fldChar w:fldCharType="end"/>
      </w:r>
      <w:r>
        <w:t xml:space="preserve"> «</w:t>
      </w:r>
      <w:r>
        <w:fldChar w:fldCharType="begin"/>
      </w:r>
      <w:r>
        <w:instrText xml:space="preserve"> REF _Ref147163104 \h </w:instrText>
      </w:r>
      <w:r>
        <w:fldChar w:fldCharType="separate"/>
      </w:r>
      <w:r>
        <w:t>Просмотр реестра счетов</w:t>
      </w:r>
      <w:r>
        <w:fldChar w:fldCharType="end"/>
      </w:r>
      <w:r>
        <w:t>».</w:t>
      </w:r>
    </w:p>
    <w:p w14:paraId="22A9B7AB">
      <w:pPr>
        <w:pStyle w:val="48"/>
        <w:rPr>
          <w14:ligatures w14:val="standardContextual"/>
        </w:rPr>
      </w:pPr>
    </w:p>
    <w:p w14:paraId="2E50C8BD">
      <w:pPr>
        <w:pStyle w:val="48"/>
      </w:pPr>
      <w:r>
        <w:rPr>
          <w14:ligatures w14:val="standardContextual"/>
        </w:rPr>
        <w:drawing>
          <wp:inline distT="0" distB="0" distL="0" distR="0">
            <wp:extent cx="6117590" cy="1546860"/>
            <wp:effectExtent l="19050" t="19050" r="16510" b="15240"/>
            <wp:docPr id="19315453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545356" name="Рисунок 4"/>
                    <pic:cNvPicPr>
                      <a:picLocks noChangeAspect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478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8135990">
      <w:pPr>
        <w:pStyle w:val="49"/>
      </w:pPr>
      <w:bookmarkStart w:id="502" w:name="_Ref1335119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119</w:t>
      </w:r>
      <w:r>
        <w:fldChar w:fldCharType="end"/>
      </w:r>
      <w:bookmarkEnd w:id="502"/>
      <w:r>
        <w:t xml:space="preserve"> — Вкладка «Реестр счетов»</w:t>
      </w:r>
    </w:p>
    <w:p w14:paraId="5D4989DE">
      <w:pPr>
        <w:pStyle w:val="44"/>
      </w:pPr>
      <w:r>
        <w:t xml:space="preserve">Для просмотра персонального счета Плательщика нажать ссылку с наименованием плательщика в столбце «Плательщик» (рис. </w:t>
      </w:r>
      <w:r>
        <w:fldChar w:fldCharType="begin"/>
      </w:r>
      <w:r>
        <w:instrText xml:space="preserve"> REF  _Ref155965854 \h\#\0   \* MERGEFORMAT </w:instrText>
      </w:r>
      <w:r>
        <w:fldChar w:fldCharType="separate"/>
      </w:r>
      <w:r>
        <w:t>120</w:t>
      </w:r>
      <w:r>
        <w:fldChar w:fldCharType="end"/>
      </w:r>
      <w:r>
        <w:t>).</w:t>
      </w:r>
    </w:p>
    <w:p w14:paraId="78F3AE02">
      <w:pPr>
        <w:pStyle w:val="48"/>
        <w:rPr>
          <w14:ligatures w14:val="standardContextual"/>
        </w:rPr>
      </w:pPr>
    </w:p>
    <w:p w14:paraId="164567C3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1597660"/>
            <wp:effectExtent l="19050" t="19050" r="14605" b="21590"/>
            <wp:docPr id="70673475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734751" name="Рисунок 5"/>
                    <pic:cNvPicPr>
                      <a:picLocks noChangeAspect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4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9768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AB30BE">
      <w:pPr>
        <w:pStyle w:val="49"/>
      </w:pPr>
      <w:bookmarkStart w:id="503" w:name="_Ref15596585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120</w:t>
      </w:r>
      <w:r>
        <w:fldChar w:fldCharType="end"/>
      </w:r>
      <w:bookmarkEnd w:id="503"/>
      <w:r>
        <w:t xml:space="preserve"> — Выбор плательщика для просмотра персонального счета Плательщика</w:t>
      </w:r>
    </w:p>
    <w:p w14:paraId="58C50FD8">
      <w:pPr>
        <w:pStyle w:val="44"/>
      </w:pPr>
      <w:r>
        <w:t xml:space="preserve">В блоке вывода результатов отобразится </w:t>
      </w:r>
      <w:bookmarkStart w:id="504" w:name="_Hlk162514174"/>
      <w:r>
        <w:t>запись актуальной версии счета Плательщика</w:t>
      </w:r>
      <w:bookmarkEnd w:id="504"/>
      <w:r>
        <w:t xml:space="preserve">, содержащая сведения о персональном счете Плательщика в блоке «Персональный счет» </w:t>
      </w:r>
      <w:bookmarkStart w:id="505" w:name="_Hlk162515028"/>
      <w:r>
        <w:t>и</w:t>
      </w:r>
      <w:r>
        <w:rPr>
          <w:lang w:val="en-US"/>
        </w:rPr>
        <w:t> </w:t>
      </w:r>
      <w:r>
        <w:t xml:space="preserve">сведения о входящих в состав счета документах в блоке «Персональные счета» (рис. </w:t>
      </w:r>
      <w:r>
        <w:fldChar w:fldCharType="begin"/>
      </w:r>
      <w:r>
        <w:instrText xml:space="preserve"> REF  _Ref164095725 \h\#\0   \* MERGEFORMAT </w:instrText>
      </w:r>
      <w:r>
        <w:fldChar w:fldCharType="separate"/>
      </w:r>
      <w:r>
        <w:t>121</w:t>
      </w:r>
      <w:r>
        <w:fldChar w:fldCharType="end"/>
      </w:r>
      <w:r>
        <w:t>).</w:t>
      </w:r>
    </w:p>
    <w:p w14:paraId="5136D96E">
      <w:pPr>
        <w:pStyle w:val="44"/>
      </w:pPr>
      <w:r>
        <w:t>В блоке «Персональные счета» для головной МО будут отражаться:</w:t>
      </w:r>
    </w:p>
    <w:p w14:paraId="4040257B">
      <w:pPr>
        <w:pStyle w:val="51"/>
      </w:pPr>
      <w:r>
        <w:t>СЭФД текущей МО;</w:t>
      </w:r>
    </w:p>
    <w:p w14:paraId="77EAB553">
      <w:pPr>
        <w:pStyle w:val="51"/>
      </w:pPr>
      <w:r>
        <w:t>СЭФД Филиалов с «ТПГГ и ПГГ», по которым нельзя выставлять счета;</w:t>
      </w:r>
    </w:p>
    <w:p w14:paraId="023B2299">
      <w:pPr>
        <w:pStyle w:val="51"/>
      </w:pPr>
      <w:r>
        <w:t>СЭФД ОСП с «ТПГГ и ПГГ», по которым нельзя выставлять счета.</w:t>
      </w:r>
    </w:p>
    <w:p w14:paraId="35876371">
      <w:pPr>
        <w:pStyle w:val="44"/>
      </w:pPr>
      <w:r>
        <w:t>Для Филиала, у которого есть «ТПГГ и ПГГ», по которому возможна подача счета, в блоке «Персональные счета» будут отображаться СЭФД данного Филиала.</w:t>
      </w:r>
    </w:p>
    <w:p w14:paraId="37A956A8">
      <w:pPr>
        <w:pStyle w:val="44"/>
      </w:pPr>
      <w:r>
        <w:t>Для Филиала, у которого нет «ТПГГ и ПГГ», по которым возможна подача счета, просмотр персонального счета не предусмотрен.</w:t>
      </w:r>
    </w:p>
    <w:p w14:paraId="4DC9A698">
      <w:pPr>
        <w:pStyle w:val="48"/>
        <w:rPr>
          <w14:ligatures w14:val="standardContextual"/>
        </w:rPr>
      </w:pPr>
    </w:p>
    <w:p w14:paraId="7776D377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2040255"/>
            <wp:effectExtent l="19050" t="19050" r="14605" b="17145"/>
            <wp:docPr id="11869591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959136" name="Рисунок 1"/>
                    <pic:cNvPicPr>
                      <a:picLocks noChangeAspect="1"/>
                    </pic:cNvPicPr>
                  </pic:nvPicPr>
                  <pic:blipFill>
                    <a:blip r:embed="rId148"/>
                    <a:srcRect b="439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408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82EE9C">
      <w:pPr>
        <w:pStyle w:val="49"/>
      </w:pPr>
      <w:bookmarkStart w:id="506" w:name="_Ref1640957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121</w:t>
      </w:r>
      <w:r>
        <w:fldChar w:fldCharType="end"/>
      </w:r>
      <w:bookmarkEnd w:id="506"/>
      <w:r>
        <w:t xml:space="preserve"> — Персональный счет Плательщика</w:t>
      </w:r>
    </w:p>
    <w:p w14:paraId="401FD827">
      <w:pPr>
        <w:pStyle w:val="44"/>
      </w:pPr>
      <w:r>
        <w:t xml:space="preserve">Для просмотра предыдущих версий счета Плательщика необходимо навести курсор на поле «Версия» (рис. </w:t>
      </w:r>
      <w:r>
        <w:fldChar w:fldCharType="begin"/>
      </w:r>
      <w:r>
        <w:instrText xml:space="preserve"> REF  _Ref155893001 \h\#\0   \* MERGEFORMAT </w:instrText>
      </w:r>
      <w:r>
        <w:fldChar w:fldCharType="separate"/>
      </w:r>
      <w:r>
        <w:t>122</w:t>
      </w:r>
      <w:r>
        <w:fldChar w:fldCharType="end"/>
      </w:r>
      <w:r>
        <w:t>) в информационной строке и выбрать версию счета в</w:t>
      </w:r>
      <w:r>
        <w:rPr>
          <w:lang w:val="en-US"/>
        </w:rPr>
        <w:t> </w:t>
      </w:r>
      <w:r>
        <w:t>раскрывающемся списке.</w:t>
      </w:r>
    </w:p>
    <w:p w14:paraId="20B41E9F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1626235"/>
            <wp:effectExtent l="19050" t="19050" r="14605" b="12065"/>
            <wp:docPr id="8171328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32838" name="Рисунок 7"/>
                    <pic:cNvPicPr>
                      <a:picLocks noChangeAspect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262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07740F">
      <w:pPr>
        <w:pStyle w:val="49"/>
      </w:pPr>
      <w:bookmarkStart w:id="507" w:name="_Ref1558930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122</w:t>
      </w:r>
      <w:r>
        <w:fldChar w:fldCharType="end"/>
      </w:r>
      <w:bookmarkEnd w:id="507"/>
      <w:r>
        <w:t xml:space="preserve"> — Выбор версии счета для просмотра</w:t>
      </w:r>
    </w:p>
    <w:bookmarkEnd w:id="505"/>
    <w:p w14:paraId="6A0E7C94">
      <w:pPr>
        <w:pStyle w:val="44"/>
      </w:pPr>
      <w:bookmarkStart w:id="508" w:name="_Hlk162515062"/>
      <w:r>
        <w:t xml:space="preserve">В области вывода результатов в блоке «Персональный счет» отобразится запись выбранной версии счета Плательщика, а в блоке «Персональные счета» — список вошедших в состав версии счета СЭФД с привязкой к пациентам (рис. </w:t>
      </w:r>
      <w:r>
        <w:fldChar w:fldCharType="begin"/>
      </w:r>
      <w:r>
        <w:instrText xml:space="preserve"> REF  _Ref133512012 \h\#\0   \* MERGEFORMAT </w:instrText>
      </w:r>
      <w:r>
        <w:fldChar w:fldCharType="separate"/>
      </w:r>
      <w:r>
        <w:t>123</w:t>
      </w:r>
      <w:r>
        <w:fldChar w:fldCharType="end"/>
      </w:r>
      <w:r>
        <w:t>).</w:t>
      </w:r>
    </w:p>
    <w:bookmarkEnd w:id="508"/>
    <w:p w14:paraId="05C65DC5">
      <w:pPr>
        <w:pStyle w:val="48"/>
        <w:rPr>
          <w14:ligatures w14:val="standardContextual"/>
        </w:rPr>
      </w:pPr>
      <w:bookmarkStart w:id="509" w:name="_Hlk154480684"/>
      <w:bookmarkStart w:id="510" w:name="_Hlk149130501"/>
    </w:p>
    <w:p w14:paraId="0486EAE0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788035"/>
            <wp:effectExtent l="19050" t="19050" r="14605" b="12065"/>
            <wp:docPr id="103555149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551494" name="Рисунок 8"/>
                    <pic:cNvPicPr>
                      <a:picLocks noChangeAspect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8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885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A5FB26">
      <w:pPr>
        <w:pStyle w:val="49"/>
      </w:pPr>
      <w:bookmarkStart w:id="511" w:name="_Ref1335120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123</w:t>
      </w:r>
      <w:r>
        <w:fldChar w:fldCharType="end"/>
      </w:r>
      <w:bookmarkEnd w:id="511"/>
      <w:r>
        <w:t xml:space="preserve"> — Персональный счет Плательщика. Блок «Персональные счета»</w:t>
      </w:r>
    </w:p>
    <w:bookmarkEnd w:id="509"/>
    <w:bookmarkEnd w:id="510"/>
    <w:p w14:paraId="67A0BE9D">
      <w:pPr>
        <w:pStyle w:val="44"/>
      </w:pPr>
      <w:r>
        <w:t xml:space="preserve">Блок «Персональные счета» содержит список </w:t>
      </w:r>
      <w:bookmarkStart w:id="512" w:name="_Hlk162515906"/>
      <w:r>
        <w:t>СЭФД в привязке к пациент</w:t>
      </w:r>
      <w:bookmarkEnd w:id="512"/>
      <w:r>
        <w:t>ам:</w:t>
      </w:r>
    </w:p>
    <w:p w14:paraId="0ABF5B21">
      <w:pPr>
        <w:pStyle w:val="51"/>
      </w:pPr>
      <w:bookmarkStart w:id="513" w:name="_Hlk154481110"/>
      <w:r>
        <w:t>«ТПГГ и ПГГ» — код МО в ОМС, в счет которой включен СЭФД;</w:t>
      </w:r>
    </w:p>
    <w:p w14:paraId="1CBD76C3">
      <w:pPr>
        <w:pStyle w:val="51"/>
      </w:pPr>
      <w:r>
        <w:t>«ИД СЭФД» — уникальный номер СЭФД в ФПУМП;</w:t>
      </w:r>
    </w:p>
    <w:p w14:paraId="4C480423">
      <w:pPr>
        <w:pStyle w:val="51"/>
      </w:pPr>
      <w:r>
        <w:t>«Версия пересчета» — номер версии пересчета СЭФД;</w:t>
      </w:r>
    </w:p>
    <w:p w14:paraId="54C6FB06">
      <w:pPr>
        <w:pStyle w:val="51"/>
      </w:pPr>
      <w:r>
        <w:t>«Дата завершения законченного случая» — дата последней услуги (для СТЦ — дата выписки) в формате дд.мм.гггг;</w:t>
      </w:r>
    </w:p>
    <w:p w14:paraId="62B89B26">
      <w:pPr>
        <w:pStyle w:val="51"/>
      </w:pPr>
      <w:r>
        <w:t>«Тип документа» — тип СЭФД, включенного в счет МО (СТЦ, АМБ, СМП);</w:t>
      </w:r>
    </w:p>
    <w:p w14:paraId="148BC5CE">
      <w:pPr>
        <w:pStyle w:val="51"/>
      </w:pPr>
      <w:r>
        <w:t>«ОИП» — обезличенный идентификатор пациента;</w:t>
      </w:r>
    </w:p>
    <w:p w14:paraId="4A2DBBCA">
      <w:pPr>
        <w:pStyle w:val="51"/>
      </w:pPr>
      <w:r>
        <w:t>«Лист регистрации» - лист регистрации пациента;</w:t>
      </w:r>
    </w:p>
    <w:p w14:paraId="5153E4D6">
      <w:pPr>
        <w:pStyle w:val="51"/>
      </w:pPr>
      <w:r>
        <w:t>«Медкарта/Номер наряда» — номер медкарты/номера наряда;</w:t>
      </w:r>
    </w:p>
    <w:p w14:paraId="1A7ED204">
      <w:pPr>
        <w:pStyle w:val="51"/>
      </w:pPr>
      <w:r>
        <w:t>«Основной диагноз» — код основного диагноза из СЭФД;</w:t>
      </w:r>
    </w:p>
    <w:p w14:paraId="0E4BA8FD">
      <w:pPr>
        <w:pStyle w:val="104"/>
      </w:pPr>
      <w:r>
        <w:t>«Должность» — сведения о должности основного медицинского работника по данным ФРМР;</w:t>
      </w:r>
    </w:p>
    <w:p w14:paraId="079EBAF8">
      <w:pPr>
        <w:pStyle w:val="104"/>
      </w:pPr>
      <w:r>
        <w:t>«Отделение/структурное подразделение» — код и наименование отделения/структурного подразделения в ФРМО;</w:t>
      </w:r>
    </w:p>
    <w:p w14:paraId="6F777363">
      <w:pPr>
        <w:pStyle w:val="104"/>
      </w:pPr>
      <w:r>
        <w:t>«Услуга, дата услуги, количество» — наименование, дата и количество услуг по коду услуги по справочнику ТНКМУ;</w:t>
      </w:r>
    </w:p>
    <w:p w14:paraId="54929F1D">
      <w:pPr>
        <w:pStyle w:val="104"/>
      </w:pPr>
      <w:r>
        <w:t>«Общее кол-во услуг по тарифу» — количество разных кодов услуг в ЗС по справочнику ТНКМУ;</w:t>
      </w:r>
    </w:p>
    <w:p w14:paraId="17EF0902">
      <w:pPr>
        <w:pStyle w:val="51"/>
      </w:pPr>
      <w:r>
        <w:t>«Код КЛП» — код лекарственных препаратов из справочника ЕСКЛП;</w:t>
      </w:r>
    </w:p>
    <w:p w14:paraId="483953AA">
      <w:pPr>
        <w:pStyle w:val="51"/>
      </w:pPr>
      <w:r>
        <w:t>«Схема введения ЛП» — код и наименование схемы из справочника V024;</w:t>
      </w:r>
    </w:p>
    <w:p w14:paraId="1BC51B9A">
      <w:pPr>
        <w:pStyle w:val="51"/>
      </w:pPr>
      <w:r>
        <w:t>«Сумма, руб» — заявленная сумма ЗС в счете;</w:t>
      </w:r>
    </w:p>
    <w:p w14:paraId="73C0ACBF">
      <w:pPr>
        <w:pStyle w:val="51"/>
      </w:pPr>
      <w:r>
        <w:t>«Сумма МЭК, руб» — заявленная сумма ЗС, снятых по МЭК;</w:t>
      </w:r>
    </w:p>
    <w:p w14:paraId="1F769606">
      <w:pPr>
        <w:pStyle w:val="51"/>
      </w:pPr>
      <w:r>
        <w:t>«МЭК счета нулевой версии, руб.» - сумма МЭК нулевой версии;</w:t>
      </w:r>
    </w:p>
    <w:p w14:paraId="23661CE7">
      <w:pPr>
        <w:pStyle w:val="51"/>
      </w:pPr>
      <w:r>
        <w:t>«ФЛК счета, руб.» — сумма СЭФД, снятых по ФЛК счета;</w:t>
      </w:r>
    </w:p>
    <w:p w14:paraId="1F6F90A7">
      <w:pPr>
        <w:pStyle w:val="51"/>
      </w:pPr>
      <w:r>
        <w:t>«Код Ошибки ФЛК создания счета» — код ФЛК создания счета, по которой СЭФД снят на ФЛК создания счета;</w:t>
      </w:r>
    </w:p>
    <w:p w14:paraId="160D1C21">
      <w:pPr>
        <w:pStyle w:val="51"/>
      </w:pPr>
      <w:r>
        <w:t>«Наименование кода ФЛК создания счета» — наименование ФЛК создания счета, по которой СЭФД снят на ФЛК создания счета;</w:t>
      </w:r>
    </w:p>
    <w:p w14:paraId="65A7E6A5">
      <w:pPr>
        <w:pStyle w:val="51"/>
      </w:pPr>
      <w:r>
        <w:t xml:space="preserve">«Юр. лицо МО» — </w:t>
      </w:r>
      <w:bookmarkStart w:id="514" w:name="_Hlk162516023"/>
      <w:r>
        <w:t>краткое наименование медицинской организации</w:t>
      </w:r>
      <w:bookmarkEnd w:id="514"/>
      <w:r>
        <w:t>, создавшей СЭФД;</w:t>
      </w:r>
    </w:p>
    <w:p w14:paraId="41B0185E">
      <w:pPr>
        <w:pStyle w:val="51"/>
      </w:pPr>
      <w:r>
        <w:t xml:space="preserve">«Филиал МО» — </w:t>
      </w:r>
      <w:bookmarkStart w:id="515" w:name="_Hlk162516082"/>
      <w:r>
        <w:t>краткое наименование филиала МО, создавшего СЭФД</w:t>
      </w:r>
      <w:bookmarkEnd w:id="515"/>
      <w:r>
        <w:t>;</w:t>
      </w:r>
    </w:p>
    <w:p w14:paraId="501F848E">
      <w:pPr>
        <w:pStyle w:val="51"/>
      </w:pPr>
      <w:r>
        <w:t>«Цель посещения».</w:t>
      </w:r>
    </w:p>
    <w:bookmarkEnd w:id="513"/>
    <w:p w14:paraId="1BA3A717">
      <w:pPr>
        <w:pStyle w:val="44"/>
      </w:pPr>
      <w:r>
        <w:t xml:space="preserve">Для просмотра сведений </w:t>
      </w:r>
      <w:bookmarkStart w:id="516" w:name="_Hlk162516175"/>
      <w:r>
        <w:t>об оказанной МП пациенту, вошедшей в счет</w:t>
      </w:r>
      <w:bookmarkEnd w:id="516"/>
      <w:r>
        <w:t xml:space="preserve">, нажать в столбце «ИД СЭФД» на ссылку с номером документа (рис. </w:t>
      </w:r>
      <w:r>
        <w:fldChar w:fldCharType="begin"/>
      </w:r>
      <w:r>
        <w:instrText xml:space="preserve"> REF  _Ref133512108 \h\#\0   \* MERGEFORMAT </w:instrText>
      </w:r>
      <w:r>
        <w:fldChar w:fldCharType="separate"/>
      </w:r>
      <w:r>
        <w:t>124</w:t>
      </w:r>
      <w:r>
        <w:fldChar w:fldCharType="end"/>
      </w:r>
      <w:r>
        <w:t>).</w:t>
      </w:r>
    </w:p>
    <w:p w14:paraId="3F3C6AAB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1481455"/>
            <wp:effectExtent l="19050" t="19050" r="14605" b="23495"/>
            <wp:docPr id="117541539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415394" name="Рисунок 9"/>
                    <pic:cNvPicPr>
                      <a:picLocks noChangeAspect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6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8195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CF44D4">
      <w:pPr>
        <w:pStyle w:val="49"/>
      </w:pPr>
      <w:bookmarkStart w:id="517" w:name="_Ref13351210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124</w:t>
      </w:r>
      <w:r>
        <w:fldChar w:fldCharType="end"/>
      </w:r>
      <w:bookmarkEnd w:id="517"/>
      <w:r>
        <w:t xml:space="preserve"> — Переход в версию счета для просмотра</w:t>
      </w:r>
    </w:p>
    <w:p w14:paraId="5504E8FD">
      <w:pPr>
        <w:pStyle w:val="44"/>
      </w:pPr>
      <w:r>
        <w:t xml:space="preserve">Произойдет переход </w:t>
      </w:r>
      <w:bookmarkStart w:id="518" w:name="_Hlk162516235"/>
      <w:r>
        <w:t xml:space="preserve">в СЭФД для просмотра подробных сведений, попавших в версию счета. Сведения о пациенте отображаются в блоке «По пациентам» в разделе «Результаты» (рис. </w:t>
      </w:r>
      <w:r>
        <w:fldChar w:fldCharType="begin"/>
      </w:r>
      <w:r>
        <w:instrText xml:space="preserve"> REF  _Ref155960820 \h\#\0   \* MERGEFORMAT </w:instrText>
      </w:r>
      <w:r>
        <w:fldChar w:fldCharType="separate"/>
      </w:r>
      <w:r>
        <w:t>125</w:t>
      </w:r>
      <w:r>
        <w:fldChar w:fldCharType="end"/>
      </w:r>
      <w:r>
        <w:t>). Поля заблокированы для изменения</w:t>
      </w:r>
    </w:p>
    <w:p w14:paraId="0C31211E">
      <w:pPr>
        <w:pStyle w:val="48"/>
      </w:pPr>
      <w:r>
        <w:drawing>
          <wp:inline distT="0" distB="0" distL="0" distR="0">
            <wp:extent cx="6119495" cy="2899410"/>
            <wp:effectExtent l="19050" t="19050" r="14605" b="15240"/>
            <wp:docPr id="10439488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948855" name="Рисунок 1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94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2577D8">
      <w:pPr>
        <w:pStyle w:val="49"/>
      </w:pPr>
      <w:bookmarkStart w:id="519" w:name="_Ref15596082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125</w:t>
      </w:r>
      <w:r>
        <w:fldChar w:fldCharType="end"/>
      </w:r>
      <w:bookmarkEnd w:id="519"/>
      <w:r>
        <w:t xml:space="preserve"> — Просмотр СЭФД</w:t>
      </w:r>
    </w:p>
    <w:bookmarkEnd w:id="518"/>
    <w:p w14:paraId="702006C3">
      <w:pPr>
        <w:pStyle w:val="39"/>
      </w:pPr>
      <w:bookmarkStart w:id="520" w:name="_Ref142477253"/>
      <w:bookmarkStart w:id="521" w:name="_Toc149209653"/>
      <w:bookmarkStart w:id="522" w:name="_Toc225871518"/>
      <w:r>
        <w:t>Просмотр паспорта счета</w:t>
      </w:r>
      <w:bookmarkEnd w:id="520"/>
      <w:bookmarkEnd w:id="521"/>
      <w:bookmarkEnd w:id="522"/>
    </w:p>
    <w:p w14:paraId="17B06D1D">
      <w:pPr>
        <w:pStyle w:val="44"/>
      </w:pPr>
      <w:r>
        <w:t xml:space="preserve">Для просмотра паспорта счета в разделе «Реестр счетов» нажать в строке счета кнопку </w:t>
      </w:r>
      <w:r>
        <w:drawing>
          <wp:inline distT="0" distB="0" distL="0" distR="0">
            <wp:extent cx="180975" cy="247650"/>
            <wp:effectExtent l="19050" t="19050" r="9525" b="19050"/>
            <wp:docPr id="21028779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877979" name="Рисунок 1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247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столбце «Сумма по ПС, руб» (рис. </w:t>
      </w:r>
      <w:r>
        <w:fldChar w:fldCharType="begin"/>
      </w:r>
      <w:r>
        <w:instrText xml:space="preserve"> REF  _Ref147151404 \h\#\0   \* MERGEFORMAT </w:instrText>
      </w:r>
      <w:r>
        <w:fldChar w:fldCharType="separate"/>
      </w:r>
      <w:r>
        <w:t>126</w:t>
      </w:r>
      <w:r>
        <w:fldChar w:fldCharType="end"/>
      </w:r>
      <w:r>
        <w:t>).</w:t>
      </w:r>
    </w:p>
    <w:p w14:paraId="6AD5A429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1477645"/>
            <wp:effectExtent l="19050" t="19050" r="14605" b="27305"/>
            <wp:docPr id="17620872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087226" name="Рисунок 10"/>
                    <pic:cNvPicPr>
                      <a:picLocks noChangeAspect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76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7E514A8">
      <w:pPr>
        <w:pStyle w:val="49"/>
      </w:pPr>
      <w:bookmarkStart w:id="523" w:name="_Ref14715140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126</w:t>
      </w:r>
      <w:r>
        <w:fldChar w:fldCharType="end"/>
      </w:r>
      <w:bookmarkEnd w:id="523"/>
      <w:r>
        <w:t xml:space="preserve"> — Реестр счетов. Скачивание паспорта счета</w:t>
      </w:r>
    </w:p>
    <w:p w14:paraId="1A56373E">
      <w:pPr>
        <w:pStyle w:val="44"/>
      </w:pPr>
      <w:bookmarkStart w:id="524" w:name="_Hlk154481111"/>
      <w:r>
        <w:t xml:space="preserve">Пример загруженного паспорта счета приведен на рисунке </w:t>
      </w:r>
      <w:r>
        <w:fldChar w:fldCharType="begin"/>
      </w:r>
      <w:r>
        <w:instrText xml:space="preserve"> REF  _Ref154158124 \h\#\0   \* MERGEFORMAT </w:instrText>
      </w:r>
      <w:r>
        <w:fldChar w:fldCharType="separate"/>
      </w:r>
      <w:r>
        <w:t>127</w:t>
      </w:r>
      <w:r>
        <w:fldChar w:fldCharType="end"/>
      </w:r>
      <w:r>
        <w:t>.</w:t>
      </w:r>
    </w:p>
    <w:p w14:paraId="313C131F">
      <w:pPr>
        <w:pStyle w:val="48"/>
      </w:pPr>
      <w:r>
        <w:rPr>
          <w14:ligatures w14:val="standardContextual"/>
        </w:rPr>
        <w:drawing>
          <wp:inline distT="0" distB="0" distL="0" distR="0">
            <wp:extent cx="6098540" cy="3385185"/>
            <wp:effectExtent l="19050" t="19050" r="16510" b="24765"/>
            <wp:docPr id="77718944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189445" name="Рисунок 11"/>
                    <pic:cNvPicPr>
                      <a:picLocks noChangeAspect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" t="8552" b="13441"/>
                    <a:stretch>
                      <a:fillRect/>
                    </a:stretch>
                  </pic:blipFill>
                  <pic:spPr>
                    <a:xfrm>
                      <a:off x="0" y="0"/>
                      <a:ext cx="6100442" cy="338669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2C999D">
      <w:pPr>
        <w:pStyle w:val="49"/>
      </w:pPr>
      <w:bookmarkStart w:id="525" w:name="_Ref1541581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127</w:t>
      </w:r>
      <w:r>
        <w:fldChar w:fldCharType="end"/>
      </w:r>
      <w:bookmarkEnd w:id="525"/>
      <w:r>
        <w:t xml:space="preserve"> — Пример паспорта счета</w:t>
      </w:r>
    </w:p>
    <w:bookmarkEnd w:id="524"/>
    <w:p w14:paraId="0E0DD4E9">
      <w:pPr>
        <w:pStyle w:val="39"/>
      </w:pPr>
      <w:bookmarkStart w:id="526" w:name="_Ref505268483"/>
      <w:bookmarkStart w:id="527" w:name="_Toc149209654"/>
      <w:bookmarkStart w:id="528" w:name="_Ref143600263"/>
      <w:bookmarkStart w:id="529" w:name="_Toc225871519"/>
      <w:bookmarkStart w:id="530" w:name="_Toc131174713"/>
      <w:bookmarkStart w:id="531" w:name="_Toc117069393"/>
      <w:r>
        <w:t>Просмотр папки с ошибочными СЭФД</w:t>
      </w:r>
      <w:bookmarkEnd w:id="526"/>
      <w:bookmarkEnd w:id="527"/>
      <w:bookmarkEnd w:id="528"/>
      <w:bookmarkEnd w:id="529"/>
      <w:bookmarkEnd w:id="530"/>
      <w:bookmarkEnd w:id="531"/>
    </w:p>
    <w:p w14:paraId="43AD9CF3">
      <w:pPr>
        <w:pStyle w:val="44"/>
      </w:pPr>
      <w:r>
        <w:t>При формировании счета некоторые СЭФД не проходят ФЛК создания счета и</w:t>
      </w:r>
      <w:r>
        <w:rPr>
          <w:lang w:val="en-US"/>
        </w:rPr>
        <w:t> </w:t>
      </w:r>
      <w:r>
        <w:t>попадают в папку «Ошибки».</w:t>
      </w:r>
    </w:p>
    <w:p w14:paraId="766AF9DB">
      <w:pPr>
        <w:pStyle w:val="44"/>
      </w:pPr>
      <w:r>
        <w:t>Для просмотра детализированной информации об ошибках необходимо перейти по ссылке «Ошибки (ErrorAccount)», которая расположена в столбце «Плательщик» (рис. </w:t>
      </w:r>
      <w:r>
        <w:fldChar w:fldCharType="begin"/>
      </w:r>
      <w:r>
        <w:instrText xml:space="preserve"> REF  _Ref147218968 \h\#\0   \* MERGEFORMAT </w:instrText>
      </w:r>
      <w:r>
        <w:fldChar w:fldCharType="separate"/>
      </w:r>
      <w:r>
        <w:t>128</w:t>
      </w:r>
      <w:r>
        <w:fldChar w:fldCharType="end"/>
      </w:r>
      <w:r>
        <w:t>).</w:t>
      </w:r>
    </w:p>
    <w:p w14:paraId="421013AA">
      <w:pPr>
        <w:pStyle w:val="48"/>
      </w:pPr>
      <w:r>
        <w:rPr>
          <w14:ligatures w14:val="standardContextual"/>
        </w:rPr>
        <w:drawing>
          <wp:inline distT="0" distB="0" distL="0" distR="0">
            <wp:extent cx="6119495" cy="1591945"/>
            <wp:effectExtent l="19050" t="19050" r="14605" b="27305"/>
            <wp:docPr id="95795939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59398" name="Рисунок 12"/>
                    <pic:cNvPicPr>
                      <a:picLocks noChangeAspect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9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9231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350036">
      <w:pPr>
        <w:pStyle w:val="49"/>
      </w:pPr>
      <w:bookmarkStart w:id="532" w:name="_Ref1472189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128</w:t>
      </w:r>
      <w:r>
        <w:fldChar w:fldCharType="end"/>
      </w:r>
      <w:bookmarkEnd w:id="532"/>
      <w:r>
        <w:t xml:space="preserve"> — </w:t>
      </w:r>
      <w:bookmarkStart w:id="533" w:name="_Hlk154481112"/>
      <w:r>
        <w:t>Реестр счетов. Ссылка для перехода в папку «Ошибки»</w:t>
      </w:r>
      <w:bookmarkEnd w:id="533"/>
    </w:p>
    <w:p w14:paraId="659B2490">
      <w:pPr>
        <w:pStyle w:val="44"/>
      </w:pPr>
      <w:r>
        <w:t>В форме «Персональный счет Ошибки» представлена общая информация по счету (верхний блок информации), а также детализированные сведения о СЭФД с ошибками (блок «Персональные счета») (рис. </w:t>
      </w:r>
      <w:r>
        <w:fldChar w:fldCharType="begin"/>
      </w:r>
      <w:r>
        <w:instrText xml:space="preserve"> REF  _Ref224219339 \h \t \#\0 \* MERGEFORMAT </w:instrText>
      </w:r>
      <w:r>
        <w:fldChar w:fldCharType="separate"/>
      </w:r>
      <w:r>
        <w:t>129</w:t>
      </w:r>
      <w:r>
        <w:fldChar w:fldCharType="end"/>
      </w:r>
      <w:r>
        <w:t>).</w:t>
      </w:r>
    </w:p>
    <w:p w14:paraId="308AE04A">
      <w:pPr>
        <w:pStyle w:val="44"/>
      </w:pPr>
      <w:r>
        <w:t>Для выгрузки сведений об ошибках в файл, необходимо нажать кнопку «Выгрузить в XLSX», расположенную в верхнем правом углу (рис. </w:t>
      </w:r>
      <w:r>
        <w:fldChar w:fldCharType="begin"/>
      </w:r>
      <w:r>
        <w:instrText xml:space="preserve"> REF  _Ref224219339 \h \t \#\0 \* MERGEFORMAT </w:instrText>
      </w:r>
      <w:r>
        <w:fldChar w:fldCharType="separate"/>
      </w:r>
      <w:r>
        <w:t>129</w:t>
      </w:r>
      <w:r>
        <w:fldChar w:fldCharType="end"/>
      </w:r>
      <w:r>
        <w:t>).</w:t>
      </w:r>
    </w:p>
    <w:p w14:paraId="2C12709E">
      <w:pPr>
        <w:pStyle w:val="48"/>
      </w:pPr>
      <w:r>
        <w:drawing>
          <wp:inline distT="0" distB="0" distL="0" distR="0">
            <wp:extent cx="6119495" cy="2738120"/>
            <wp:effectExtent l="19050" t="19050" r="14605" b="24130"/>
            <wp:docPr id="14984303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30351" name="Рисунок 1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381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1FAE5A">
      <w:pPr>
        <w:pStyle w:val="49"/>
      </w:pPr>
      <w:bookmarkStart w:id="534" w:name="_Ref224219339"/>
      <w:bookmarkStart w:id="535" w:name="_Ref2242193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129</w:t>
      </w:r>
      <w:r>
        <w:fldChar w:fldCharType="end"/>
      </w:r>
      <w:bookmarkEnd w:id="534"/>
      <w:r>
        <w:t xml:space="preserve"> — Форма «Персональный счет Ошибки», кнопка «Выгрузить в XLSX</w:t>
      </w:r>
      <w:bookmarkEnd w:id="535"/>
      <w:r>
        <w:t>»</w:t>
      </w:r>
    </w:p>
    <w:p w14:paraId="2E268DBD">
      <w:pPr>
        <w:pStyle w:val="44"/>
      </w:pPr>
      <w:r>
        <w:t>Форма выгружаемого отчета содержит следующие колонки:</w:t>
      </w:r>
    </w:p>
    <w:p w14:paraId="0ECFBA56">
      <w:pPr>
        <w:pStyle w:val="51"/>
      </w:pPr>
      <w:r>
        <w:t>«ТПГГ и ПГГ» — код МО в ОМС, в счет которой включен СЭФД;</w:t>
      </w:r>
    </w:p>
    <w:p w14:paraId="522C1BAE">
      <w:pPr>
        <w:pStyle w:val="51"/>
      </w:pPr>
      <w:r>
        <w:t>«ИД СЭФД» — уникальный номер СЭФД в ФПУМП;</w:t>
      </w:r>
    </w:p>
    <w:p w14:paraId="012EC306">
      <w:pPr>
        <w:pStyle w:val="51"/>
      </w:pPr>
      <w:r>
        <w:t>«Версия СЭФД» — версия СЭФД в папке «Ошибки»;</w:t>
      </w:r>
    </w:p>
    <w:p w14:paraId="79FC645D">
      <w:pPr>
        <w:pStyle w:val="51"/>
      </w:pPr>
      <w:r>
        <w:t>«Версия пересчёта СЭФД» — номер версии пересчета СЭФД;</w:t>
      </w:r>
    </w:p>
    <w:p w14:paraId="62A343E9">
      <w:pPr>
        <w:pStyle w:val="51"/>
      </w:pPr>
      <w:r>
        <w:t>«Дата завершения законченного случая» — дата последней услуги (для СТЦ — дата выписки) в формате дд.мм.гггг;</w:t>
      </w:r>
    </w:p>
    <w:p w14:paraId="2C713E40">
      <w:pPr>
        <w:pStyle w:val="51"/>
      </w:pPr>
      <w:r>
        <w:t>«Тип СЭФД» — СТЦ, АМБ, СМП;</w:t>
      </w:r>
    </w:p>
    <w:p w14:paraId="0F6DF9B7">
      <w:pPr>
        <w:pStyle w:val="51"/>
      </w:pPr>
      <w:r>
        <w:t>«ОИП» — обезличенный идентификатор пациента;</w:t>
      </w:r>
    </w:p>
    <w:p w14:paraId="09119A81">
      <w:pPr>
        <w:pStyle w:val="51"/>
      </w:pPr>
      <w:r>
        <w:t>«Лист регистрации» — лист регистрации пациента;</w:t>
      </w:r>
    </w:p>
    <w:p w14:paraId="0361031C">
      <w:pPr>
        <w:pStyle w:val="51"/>
      </w:pPr>
      <w:r>
        <w:t>«ЕНП» — единый номер полиса пациента;</w:t>
      </w:r>
    </w:p>
    <w:p w14:paraId="3BC0FE26">
      <w:pPr>
        <w:pStyle w:val="51"/>
      </w:pPr>
      <w:r>
        <w:t>«Дата рождения»;</w:t>
      </w:r>
    </w:p>
    <w:p w14:paraId="75E2BB63">
      <w:pPr>
        <w:pStyle w:val="51"/>
      </w:pPr>
      <w:r>
        <w:t>«Дата смерти»;</w:t>
      </w:r>
    </w:p>
    <w:p w14:paraId="163BBF07">
      <w:pPr>
        <w:pStyle w:val="51"/>
      </w:pPr>
      <w:r>
        <w:t>«Пол»;</w:t>
      </w:r>
    </w:p>
    <w:p w14:paraId="0D1C1EFA">
      <w:pPr>
        <w:pStyle w:val="51"/>
      </w:pPr>
      <w:r>
        <w:t>«Номер медкарты / Номер карты вызова»;</w:t>
      </w:r>
    </w:p>
    <w:p w14:paraId="0ADD0F7A">
      <w:pPr>
        <w:pStyle w:val="51"/>
      </w:pPr>
      <w:r>
        <w:t>«Основной диагноз» — код основного диагноза из СЭФД;</w:t>
      </w:r>
    </w:p>
    <w:p w14:paraId="5DA766B4">
      <w:pPr>
        <w:pStyle w:val="51"/>
      </w:pPr>
      <w:r>
        <w:t>«Должность» — сведения о должности основного медицинского работника по данным ФРМР;</w:t>
      </w:r>
    </w:p>
    <w:p w14:paraId="7A1BE7BF">
      <w:pPr>
        <w:pStyle w:val="51"/>
      </w:pPr>
      <w:r>
        <w:t>«Отделение / Структурное подразделение» — код и наименование отделения/структурного подразделения в ФРМО;</w:t>
      </w:r>
    </w:p>
    <w:p w14:paraId="1B967ADB">
      <w:pPr>
        <w:pStyle w:val="51"/>
      </w:pPr>
      <w:r>
        <w:t>«Услуга, Дата услуги, Кол-во» — наименование, дата и количество услуг по коду услуги по справочнику ТНКМУ;</w:t>
      </w:r>
    </w:p>
    <w:p w14:paraId="76F3EFC2">
      <w:pPr>
        <w:pStyle w:val="51"/>
      </w:pPr>
      <w:r>
        <w:t>«Общее кол-во услуг по тарифу» — количество разных кодов услуг в ЗС по справочнику ТНКМУ;</w:t>
      </w:r>
    </w:p>
    <w:p w14:paraId="0741DB45">
      <w:pPr>
        <w:pStyle w:val="51"/>
      </w:pPr>
      <w:r>
        <w:t>«ВМП» — код группы ВМП;</w:t>
      </w:r>
    </w:p>
    <w:p w14:paraId="048587DD">
      <w:pPr>
        <w:pStyle w:val="51"/>
      </w:pPr>
      <w:r>
        <w:t>«КСГ» — код группы КСГ;</w:t>
      </w:r>
    </w:p>
    <w:p w14:paraId="11B9D9B1">
      <w:pPr>
        <w:pStyle w:val="51"/>
      </w:pPr>
      <w:r>
        <w:t>«Код КЛП» — код лекарственных препаратов из справочника ЕСКЛП;</w:t>
      </w:r>
    </w:p>
    <w:p w14:paraId="21E11BD1">
      <w:pPr>
        <w:pStyle w:val="51"/>
      </w:pPr>
      <w:r>
        <w:t>«Схема введения ЛП» — код и наименование схемы из справочника V024 «Классификатор классификационных критериев»;</w:t>
      </w:r>
    </w:p>
    <w:p w14:paraId="53F4E376">
      <w:pPr>
        <w:pStyle w:val="51"/>
      </w:pPr>
      <w:r>
        <w:t>«Сумма, руб.» — заявленная сумма ЗС в счете;</w:t>
      </w:r>
    </w:p>
    <w:p w14:paraId="74C70B18">
      <w:pPr>
        <w:pStyle w:val="51"/>
      </w:pPr>
      <w:r>
        <w:t>«Сумма МЭК, руб.» — заявленная сумма ЗС, снятых по МЭК;</w:t>
      </w:r>
    </w:p>
    <w:p w14:paraId="130180C5">
      <w:pPr>
        <w:pStyle w:val="51"/>
      </w:pPr>
      <w:r>
        <w:t>«МЭК счёта нулевой версии, руб.» — сумма МЭК нулевой версии;</w:t>
      </w:r>
    </w:p>
    <w:p w14:paraId="3BB5D285">
      <w:pPr>
        <w:pStyle w:val="51"/>
      </w:pPr>
      <w:r>
        <w:t>«ФЛК счёта, руб.» — сумма СЭФД, снятых по ФЛК счета;</w:t>
      </w:r>
    </w:p>
    <w:p w14:paraId="495A00B2">
      <w:pPr>
        <w:pStyle w:val="51"/>
      </w:pPr>
      <w:r>
        <w:t>«Код ошибки ФЛК создания счёта» — код ФЛК создания счета, по которой СЭФД снята на ФЛК создания счета;</w:t>
      </w:r>
    </w:p>
    <w:p w14:paraId="1CD99857">
      <w:pPr>
        <w:pStyle w:val="51"/>
      </w:pPr>
      <w:r>
        <w:t>«Наименование кода ФЛК создания счёта» — наименование ФЛК создания счета, по которой СЭФД снят на ФЛК создания счета;</w:t>
      </w:r>
    </w:p>
    <w:p w14:paraId="62B5F5C1">
      <w:pPr>
        <w:pStyle w:val="51"/>
      </w:pPr>
      <w:r>
        <w:t>«МО прикрепления ЗЛ»;</w:t>
      </w:r>
    </w:p>
    <w:p w14:paraId="79A1D722">
      <w:pPr>
        <w:pStyle w:val="51"/>
      </w:pPr>
      <w:r>
        <w:t>«Юр. лицо МО» — краткое наименование медицинской организации, создавшей СЭФД;</w:t>
      </w:r>
    </w:p>
    <w:p w14:paraId="50C73461">
      <w:pPr>
        <w:pStyle w:val="51"/>
      </w:pPr>
      <w:r>
        <w:t>«Филиал МО» — краткое наименование филиала МО, создавшего СЭФД;</w:t>
      </w:r>
    </w:p>
    <w:p w14:paraId="05313EFD">
      <w:pPr>
        <w:pStyle w:val="51"/>
      </w:pPr>
      <w:r>
        <w:t>«Причина попадания СЭФД в счет «Ошибки» по плательщику»;</w:t>
      </w:r>
    </w:p>
    <w:p w14:paraId="4D4A29E7">
      <w:pPr>
        <w:pStyle w:val="51"/>
      </w:pPr>
      <w:r>
        <w:t>«Описание причины по плательщику»;</w:t>
      </w:r>
    </w:p>
    <w:p w14:paraId="31367363">
      <w:pPr>
        <w:pStyle w:val="51"/>
      </w:pPr>
      <w:r>
        <w:t>«Причина попадания СЭФД в счет «Ошибки» по пациенту»;</w:t>
      </w:r>
    </w:p>
    <w:p w14:paraId="10F56918">
      <w:pPr>
        <w:pStyle w:val="51"/>
      </w:pPr>
      <w:r>
        <w:t>«Описание причины по пациенту»;</w:t>
      </w:r>
    </w:p>
    <w:p w14:paraId="34437678">
      <w:pPr>
        <w:pStyle w:val="51"/>
      </w:pPr>
      <w:r>
        <w:t>«Текст ошибки».</w:t>
      </w:r>
    </w:p>
    <w:p w14:paraId="1EBEEEB4">
      <w:pPr>
        <w:pStyle w:val="44"/>
      </w:pPr>
      <w:r>
        <w:t>Для просмотра подробных сведений о СЭФД, содержащем ошибку, нажать на</w:t>
      </w:r>
      <w:r>
        <w:rPr>
          <w:lang w:val="en-US"/>
        </w:rPr>
        <w:t> </w:t>
      </w:r>
      <w:r>
        <w:t xml:space="preserve">ссылку с номером документа в столбце «ИД СЭФД» (рис. </w:t>
      </w:r>
      <w:r>
        <w:fldChar w:fldCharType="begin"/>
      </w:r>
      <w:r>
        <w:instrText xml:space="preserve"> REF  _Ref225437560 \h \t \#\0 \* MERGEFORMAT </w:instrText>
      </w:r>
      <w:r>
        <w:fldChar w:fldCharType="separate"/>
      </w:r>
      <w:r>
        <w:t>130</w:t>
      </w:r>
      <w:r>
        <w:fldChar w:fldCharType="end"/>
      </w:r>
      <w:r>
        <w:t>).</w:t>
      </w:r>
    </w:p>
    <w:p w14:paraId="07AD311A">
      <w:pPr>
        <w:pStyle w:val="44"/>
      </w:pPr>
      <w:r>
        <w:t xml:space="preserve">Чтобы вернуться на страницу с реестром счетов нажать кнопку </w:t>
      </w:r>
      <w:r>
        <w:drawing>
          <wp:inline distT="0" distB="0" distL="0" distR="0">
            <wp:extent cx="147955" cy="213360"/>
            <wp:effectExtent l="19050" t="19050" r="23495" b="15240"/>
            <wp:docPr id="16795619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61995" name="Рисунок 1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51264" cy="2178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«Назад».</w:t>
      </w:r>
    </w:p>
    <w:p w14:paraId="1A4157D6">
      <w:pPr>
        <w:pStyle w:val="48"/>
      </w:pPr>
      <w:r>
        <w:drawing>
          <wp:inline distT="0" distB="0" distL="0" distR="0">
            <wp:extent cx="6119495" cy="2738120"/>
            <wp:effectExtent l="19050" t="19050" r="14605" b="24130"/>
            <wp:docPr id="1133595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95045" name="Рисунок 1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381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14:ligatures w14:val="standardContextual"/>
        </w:rPr>
        <w:t xml:space="preserve"> </w:t>
      </w:r>
    </w:p>
    <w:p w14:paraId="57D378B8">
      <w:pPr>
        <w:pStyle w:val="49"/>
      </w:pPr>
      <w:bookmarkStart w:id="536" w:name="_Ref133512163"/>
      <w:bookmarkStart w:id="537" w:name="_Ref2254375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130</w:t>
      </w:r>
      <w:r>
        <w:fldChar w:fldCharType="end"/>
      </w:r>
      <w:bookmarkEnd w:id="536"/>
      <w:r>
        <w:t xml:space="preserve"> — Форма «Персональный счет Ошибки», ссылка для перехода в СЭФД и возврата в Реестр счетов</w:t>
      </w:r>
      <w:bookmarkEnd w:id="537"/>
    </w:p>
    <w:p w14:paraId="3A0F7E14">
      <w:pPr>
        <w:pStyle w:val="39"/>
      </w:pPr>
      <w:bookmarkStart w:id="538" w:name="_Toc131174716"/>
      <w:bookmarkStart w:id="539" w:name="_Ref142477306"/>
      <w:bookmarkStart w:id="540" w:name="_Ref142477560"/>
      <w:bookmarkStart w:id="541" w:name="_Toc117069395"/>
      <w:bookmarkStart w:id="542" w:name="_Toc149209655"/>
      <w:bookmarkStart w:id="543" w:name="_Toc225871520"/>
      <w:r>
        <w:t>Формирование счет</w:t>
      </w:r>
      <w:bookmarkEnd w:id="538"/>
      <w:bookmarkEnd w:id="539"/>
      <w:bookmarkEnd w:id="540"/>
      <w:bookmarkEnd w:id="541"/>
      <w:r>
        <w:t>а</w:t>
      </w:r>
      <w:bookmarkEnd w:id="542"/>
      <w:bookmarkEnd w:id="543"/>
    </w:p>
    <w:p w14:paraId="7F649F40">
      <w:pPr>
        <w:pStyle w:val="44"/>
      </w:pPr>
      <w:bookmarkStart w:id="544" w:name="_Hlk154481113"/>
      <w:r>
        <w:t>Все счета формируются в рамках отчетного периода.</w:t>
      </w:r>
    </w:p>
    <w:p w14:paraId="3E22E74F">
      <w:pPr>
        <w:pStyle w:val="44"/>
      </w:pPr>
      <w:r>
        <w:t>В счет МО за отчетный период входят все законченные случаи оказания медицинской помощи за отчетный период. Отнесение СЭФД к отчетному периоду определяется датой окончания оказания медицинской помощи:</w:t>
      </w:r>
    </w:p>
    <w:p w14:paraId="6194326A">
      <w:pPr>
        <w:pStyle w:val="51"/>
      </w:pPr>
      <w:r>
        <w:t>для СТЦ — дата выписки пациента из стационара. Все услуги из СЭФД СТЦ, включая симультанные, попадают в отчетный период, соответствующий дате выбытия в форме СТЦ.</w:t>
      </w:r>
    </w:p>
    <w:p w14:paraId="0D5EE6F3">
      <w:pPr>
        <w:pStyle w:val="51"/>
      </w:pPr>
      <w:r>
        <w:t>СМП — дата и время завершения вызова. Все услуги в СЭФД СМП попадают в</w:t>
      </w:r>
      <w:r>
        <w:rPr>
          <w:lang w:val="en-US"/>
        </w:rPr>
        <w:t> </w:t>
      </w:r>
      <w:r>
        <w:t>отчетный период по дате вызова в СМП;</w:t>
      </w:r>
    </w:p>
    <w:p w14:paraId="61B4886F">
      <w:pPr>
        <w:pStyle w:val="51"/>
      </w:pPr>
      <w:r>
        <w:t>АМБ — дата последнего посещения в рамках медицинского случая (обращения, посещения, единичной услуги). Все услуги из СЭФД АМБ попадают в отчетный период, соответствующий дате последней услуги в АМБ.</w:t>
      </w:r>
    </w:p>
    <w:p w14:paraId="3DFE3BDB">
      <w:pPr>
        <w:pStyle w:val="44"/>
      </w:pPr>
      <w:r>
        <w:t>На основании созданных СЭФД формируется реестр СЭФД, отнесенных к отчетному периоду.</w:t>
      </w:r>
    </w:p>
    <w:p w14:paraId="0A056462">
      <w:pPr>
        <w:pStyle w:val="44"/>
      </w:pPr>
      <w:r>
        <w:t>При формировании реестров происходит определение страховой принадлежности пациентов для установления плательщика за оказанную медицинскую помощь в текущем отчетном периоде.</w:t>
      </w:r>
    </w:p>
    <w:p w14:paraId="5D4B0F88">
      <w:pPr>
        <w:pStyle w:val="44"/>
      </w:pPr>
      <w:r>
        <w:t>Все СЭФД, отнесенные к отчетному периоду, распределяются по типам плательщиков — по страховой принадлежности ЗЛ (СМО) или типу пациента ИН, НИЛ (ТФОМС) или типу МП (ВМП).</w:t>
      </w:r>
    </w:p>
    <w:p w14:paraId="239FBF7B">
      <w:pPr>
        <w:pStyle w:val="44"/>
      </w:pPr>
      <w:r>
        <w:t>Для каждого типа плательщиков определяются регламентные сроки, в которые допустимо формирования счетов за отчетный период.</w:t>
      </w:r>
    </w:p>
    <w:bookmarkEnd w:id="544"/>
    <w:p w14:paraId="42819AD0">
      <w:pPr>
        <w:pStyle w:val="44"/>
      </w:pPr>
      <w:r>
        <w:t xml:space="preserve">Для формирования счета (создания новой версии счета) необходимо в блоке «Фильтр» указать год и месяц отчетного периода (рис. </w:t>
      </w:r>
      <w:r>
        <w:fldChar w:fldCharType="begin"/>
      </w:r>
      <w:r>
        <w:instrText xml:space="preserve"> REF  _Ref133575746 \h\#\0   \* MERGEFORMAT </w:instrText>
      </w:r>
      <w:r>
        <w:fldChar w:fldCharType="separate"/>
      </w:r>
      <w:r>
        <w:t>131</w:t>
      </w:r>
      <w:r>
        <w:fldChar w:fldCharType="end"/>
      </w:r>
      <w:r>
        <w:t>) и нажать кнопку «Найти».</w:t>
      </w:r>
    </w:p>
    <w:p w14:paraId="011D0232">
      <w:pPr>
        <w:pStyle w:val="48"/>
      </w:pPr>
      <w:r>
        <w:drawing>
          <wp:inline distT="0" distB="0" distL="0" distR="0">
            <wp:extent cx="2159635" cy="1356360"/>
            <wp:effectExtent l="19050" t="19050" r="12065" b="1524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35669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E9E977">
      <w:pPr>
        <w:pStyle w:val="49"/>
      </w:pPr>
      <w:bookmarkStart w:id="545" w:name="_Ref1335757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131</w:t>
      </w:r>
      <w:r>
        <w:fldChar w:fldCharType="end"/>
      </w:r>
      <w:bookmarkEnd w:id="545"/>
      <w:r>
        <w:t xml:space="preserve"> — Выбор отчетного периода</w:t>
      </w:r>
    </w:p>
    <w:p w14:paraId="38AE6801">
      <w:pPr>
        <w:pStyle w:val="44"/>
      </w:pPr>
      <w:r>
        <w:t>В «Реестре счетов» отобразятся сведения о счетах за выбранный отчетный период.</w:t>
      </w:r>
    </w:p>
    <w:p w14:paraId="43F97570">
      <w:pPr>
        <w:pStyle w:val="44"/>
      </w:pPr>
      <w:r>
        <w:t>Для формирования счета плательщику выбрать плательщика в столбце «Плательщик» и нажать кнопку «Сформировать» (рис.</w:t>
      </w:r>
      <w:r>
        <w:rPr>
          <w:lang w:val="en-US"/>
        </w:rPr>
        <w:t> </w:t>
      </w:r>
      <w:r>
        <w:fldChar w:fldCharType="begin"/>
      </w:r>
      <w:r>
        <w:instrText xml:space="preserve"> REF  _Ref133512486 \h\#\0   \* MERGEFORMAT </w:instrText>
      </w:r>
      <w:r>
        <w:fldChar w:fldCharType="separate"/>
      </w:r>
      <w:r>
        <w:t>132</w:t>
      </w:r>
      <w:r>
        <w:fldChar w:fldCharType="end"/>
      </w:r>
      <w:r>
        <w:t>).</w:t>
      </w:r>
    </w:p>
    <w:p w14:paraId="15D8B147">
      <w:pPr>
        <w:pStyle w:val="46"/>
      </w:pPr>
      <w:r>
        <w:rPr>
          <w:rStyle w:val="47"/>
        </w:rPr>
        <w:t>Примечание</w:t>
      </w:r>
      <w:r>
        <w:t xml:space="preserve"> — Возможность сформировать счет доступна только пользователю МО, которой принадлежит «ТПГГ и ПГГ» данного счета.</w:t>
      </w:r>
    </w:p>
    <w:p w14:paraId="6F54F0F5">
      <w:pPr>
        <w:pStyle w:val="48"/>
      </w:pPr>
      <w:r>
        <w:drawing>
          <wp:inline distT="0" distB="0" distL="0" distR="0">
            <wp:extent cx="6049010" cy="852170"/>
            <wp:effectExtent l="19050" t="19050" r="27940" b="24130"/>
            <wp:docPr id="334343159" name="Рисунок 334343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43159" name="Рисунок 334343159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8521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B798F29">
      <w:pPr>
        <w:pStyle w:val="49"/>
      </w:pPr>
      <w:bookmarkStart w:id="546" w:name="_Ref1335124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132</w:t>
      </w:r>
      <w:r>
        <w:fldChar w:fldCharType="end"/>
      </w:r>
      <w:bookmarkEnd w:id="546"/>
      <w:r>
        <w:t xml:space="preserve"> — Формирование реестров счетов по Плательщику</w:t>
      </w:r>
    </w:p>
    <w:p w14:paraId="2175E692">
      <w:pPr>
        <w:pStyle w:val="44"/>
      </w:pPr>
      <w:r>
        <w:t xml:space="preserve">При формировании счета автоматически запустится процесс предварительной проверки — ФЛК счета. Отобразится сообщение о постановке заявки на формирование счета (рис. </w:t>
      </w:r>
      <w:r>
        <w:fldChar w:fldCharType="begin"/>
      </w:r>
      <w:r>
        <w:instrText xml:space="preserve"> REF  _Ref154424060 \h\#\0   \* MERGEFORMAT </w:instrText>
      </w:r>
      <w:r>
        <w:fldChar w:fldCharType="separate"/>
      </w:r>
      <w:r>
        <w:t>133</w:t>
      </w:r>
      <w:r>
        <w:fldChar w:fldCharType="end"/>
      </w:r>
      <w:r>
        <w:t>).</w:t>
      </w:r>
    </w:p>
    <w:p w14:paraId="431B3E3D">
      <w:pPr>
        <w:pStyle w:val="48"/>
      </w:pPr>
      <w:r>
        <w:drawing>
          <wp:inline distT="0" distB="0" distL="0" distR="0">
            <wp:extent cx="2148840" cy="441960"/>
            <wp:effectExtent l="19050" t="19050" r="22860" b="15240"/>
            <wp:docPr id="1394165816" name="Рисунок 1394165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165816" name="Рисунок 1394165816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149026" cy="44199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72F83C7">
      <w:pPr>
        <w:pStyle w:val="49"/>
      </w:pPr>
      <w:bookmarkStart w:id="547" w:name="_Ref1544240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133</w:t>
      </w:r>
      <w:r>
        <w:fldChar w:fldCharType="end"/>
      </w:r>
      <w:bookmarkEnd w:id="547"/>
      <w:r>
        <w:t xml:space="preserve"> — Сообщение об отправке счета на формирование</w:t>
      </w:r>
    </w:p>
    <w:p w14:paraId="44DF260F">
      <w:pPr>
        <w:pStyle w:val="44"/>
      </w:pPr>
      <w:r>
        <w:t xml:space="preserve">При успешном формировании счета в </w:t>
      </w:r>
      <w:bookmarkStart w:id="548" w:name="_Hlk154481275"/>
      <w:r>
        <w:t>«Реестре счетов» в строке записи счета автоматически изменяется статус счета на значение «Сформирован».</w:t>
      </w:r>
      <w:bookmarkEnd w:id="548"/>
    </w:p>
    <w:p w14:paraId="3FC3F334">
      <w:pPr>
        <w:pStyle w:val="44"/>
      </w:pPr>
      <w:r>
        <w:t>В случае выявления ошибок при формировании счета, счет не будет сформирован, статус счета изменится на значение «Ошибка формирования счета».</w:t>
      </w:r>
    </w:p>
    <w:p w14:paraId="5B55DEFE">
      <w:pPr>
        <w:pStyle w:val="44"/>
      </w:pPr>
      <w:r>
        <w:t>В области уведомлений отобразится сообщение об ошибке при формировании счета.</w:t>
      </w:r>
    </w:p>
    <w:p w14:paraId="08588C98">
      <w:pPr>
        <w:pStyle w:val="44"/>
      </w:pPr>
      <w:bookmarkStart w:id="549" w:name="_Hlk154481386"/>
      <w:r>
        <w:t>Изменение статуса счетов можно проконтролировать, обновив сведения о статусе в окне браузера. Для этого необходимо повторно нажать кнопку «Найти» для выбранного отчетного периода или клавишу «</w:t>
      </w:r>
      <w:r>
        <w:rPr>
          <w:lang w:val="en-US"/>
        </w:rPr>
        <w:t>F</w:t>
      </w:r>
      <w:r>
        <w:t>5».</w:t>
      </w:r>
    </w:p>
    <w:bookmarkEnd w:id="549"/>
    <w:p w14:paraId="48166049">
      <w:pPr>
        <w:pStyle w:val="39"/>
        <w:rPr>
          <w:lang w:eastAsia="en-US"/>
        </w:rPr>
      </w:pPr>
      <w:bookmarkStart w:id="550" w:name="_Toc149209656"/>
      <w:bookmarkStart w:id="551" w:name="_Toc225871521"/>
      <w:bookmarkStart w:id="552" w:name="_Ref143801432"/>
      <w:r>
        <w:rPr>
          <w:lang w:eastAsia="en-US"/>
        </w:rPr>
        <w:t>Подписание счета</w:t>
      </w:r>
      <w:bookmarkEnd w:id="550"/>
      <w:bookmarkEnd w:id="551"/>
      <w:bookmarkEnd w:id="552"/>
    </w:p>
    <w:p w14:paraId="1D78ABC9">
      <w:pPr>
        <w:pStyle w:val="44"/>
      </w:pPr>
      <w:bookmarkStart w:id="553" w:name="_Hlk146291570"/>
      <w:r>
        <w:t>Перед отправкой плательщику сформированный счет необходимо подписать.</w:t>
      </w:r>
    </w:p>
    <w:p w14:paraId="7A960813">
      <w:pPr>
        <w:pStyle w:val="44"/>
      </w:pPr>
      <w:r>
        <w:t xml:space="preserve">Чтобы подписать счет необходимо в Реестре счетов выбрать счет в статусе «Сформирован» и нажать кнопку «Подписать» (рис. </w:t>
      </w:r>
      <w:r>
        <w:fldChar w:fldCharType="begin"/>
      </w:r>
      <w:r>
        <w:instrText xml:space="preserve"> REF  _Ref146532957 \h\#\0   \* MERGEFORMAT </w:instrText>
      </w:r>
      <w:r>
        <w:fldChar w:fldCharType="separate"/>
      </w:r>
      <w:r>
        <w:t>134</w:t>
      </w:r>
      <w:r>
        <w:fldChar w:fldCharType="end"/>
      </w:r>
      <w:r>
        <w:t>).</w:t>
      </w:r>
    </w:p>
    <w:p w14:paraId="3962FAA3">
      <w:pPr>
        <w:pStyle w:val="46"/>
      </w:pPr>
      <w:r>
        <w:rPr>
          <w:rStyle w:val="47"/>
        </w:rPr>
        <w:t>Примечание</w:t>
      </w:r>
      <w:r>
        <w:t xml:space="preserve"> — Кнопка «Подписать» доступна только пользователям с правом подписи и принадлежащим к МО, которой принадлежит «ТПГГ и ПГГ» счета.</w:t>
      </w:r>
    </w:p>
    <w:bookmarkEnd w:id="553"/>
    <w:p w14:paraId="34072B99">
      <w:pPr>
        <w:pStyle w:val="48"/>
      </w:pPr>
      <w:r>
        <w:drawing>
          <wp:inline distT="0" distB="0" distL="0" distR="0">
            <wp:extent cx="6114415" cy="763270"/>
            <wp:effectExtent l="19050" t="19050" r="19685" b="17780"/>
            <wp:docPr id="154393594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935947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76327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71E6340">
      <w:pPr>
        <w:pStyle w:val="49"/>
      </w:pPr>
      <w:bookmarkStart w:id="554" w:name="_Ref14653295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134</w:t>
      </w:r>
      <w:r>
        <w:fldChar w:fldCharType="end"/>
      </w:r>
      <w:bookmarkEnd w:id="554"/>
      <w:r>
        <w:t xml:space="preserve"> — Подписание счета</w:t>
      </w:r>
    </w:p>
    <w:p w14:paraId="3C7CB7EC">
      <w:pPr>
        <w:pStyle w:val="44"/>
      </w:pPr>
      <w:r>
        <w:t xml:space="preserve">В появившемся окне выбрать из выпадающего списка действующий сертификат пользователя, которым будет подписан ответ, и нажать кнопку «Подписать»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162528366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135</w:t>
      </w:r>
      <w:r>
        <w:rPr>
          <w:lang w:val="en-US"/>
        </w:rPr>
        <w:fldChar w:fldCharType="end"/>
      </w:r>
      <w:r>
        <w:t>).</w:t>
      </w:r>
    </w:p>
    <w:p w14:paraId="17A8B8B8">
      <w:pPr>
        <w:pStyle w:val="48"/>
      </w:pPr>
      <w:r>
        <w:drawing>
          <wp:inline distT="0" distB="0" distL="0" distR="0">
            <wp:extent cx="3360420" cy="2004060"/>
            <wp:effectExtent l="19050" t="19050" r="11430" b="15240"/>
            <wp:docPr id="300424765" name="Рисунок 300424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24765" name="Рисунок 300424765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360711" cy="200423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C33878">
      <w:pPr>
        <w:pStyle w:val="49"/>
      </w:pPr>
      <w:bookmarkStart w:id="555" w:name="_Ref1625283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135</w:t>
      </w:r>
      <w:r>
        <w:fldChar w:fldCharType="end"/>
      </w:r>
      <w:bookmarkEnd w:id="555"/>
      <w:r>
        <w:t xml:space="preserve"> — Выбор сертификата подписи</w:t>
      </w:r>
    </w:p>
    <w:p w14:paraId="250CEE0D">
      <w:pPr>
        <w:pStyle w:val="44"/>
      </w:pPr>
      <w:r>
        <w:t xml:space="preserve">При успешном подписании отобразится соответствующее уведомление (рис. </w:t>
      </w:r>
      <w:r>
        <w:fldChar w:fldCharType="begin"/>
      </w:r>
      <w:r>
        <w:instrText xml:space="preserve"> REF  _Ref162528288 \h\#\0   \* MERGEFORMAT </w:instrText>
      </w:r>
      <w:r>
        <w:fldChar w:fldCharType="separate"/>
      </w:r>
      <w:r>
        <w:t>136</w:t>
      </w:r>
      <w:r>
        <w:fldChar w:fldCharType="end"/>
      </w:r>
      <w:r>
        <w:t>) и</w:t>
      </w:r>
      <w:r>
        <w:rPr>
          <w:lang w:val="en-US"/>
        </w:rPr>
        <w:t> </w:t>
      </w:r>
      <w:r>
        <w:t>статус счета изменится на «Подписан».</w:t>
      </w:r>
    </w:p>
    <w:p w14:paraId="6DCCD994">
      <w:pPr>
        <w:pStyle w:val="48"/>
      </w:pPr>
      <w:r>
        <w:drawing>
          <wp:inline distT="0" distB="0" distL="0" distR="0">
            <wp:extent cx="2879725" cy="1609090"/>
            <wp:effectExtent l="19050" t="19050" r="15875" b="10160"/>
            <wp:docPr id="18802364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236480" name="Рисунок 1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0941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68D8126">
      <w:pPr>
        <w:pStyle w:val="49"/>
      </w:pPr>
      <w:bookmarkStart w:id="556" w:name="_Ref1625282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136</w:t>
      </w:r>
      <w:r>
        <w:fldChar w:fldCharType="end"/>
      </w:r>
      <w:bookmarkEnd w:id="556"/>
      <w:r>
        <w:t xml:space="preserve"> — Уведомление о подписании счета</w:t>
      </w:r>
    </w:p>
    <w:p w14:paraId="53D263D1">
      <w:pPr>
        <w:pStyle w:val="44"/>
      </w:pPr>
      <w:r>
        <w:t xml:space="preserve">Обновить статус счета нажатием кнопки «Найти» в блоке «Фильтр» или воспользоваться клавишей </w:t>
      </w:r>
      <w:r>
        <w:rPr>
          <w:lang w:val="en-US"/>
        </w:rPr>
        <w:t>F</w:t>
      </w:r>
      <w:r>
        <w:t>5. При успешном подписании статус счета изменится на</w:t>
      </w:r>
      <w:r>
        <w:rPr>
          <w:lang w:val="en-US"/>
        </w:rPr>
        <w:t> </w:t>
      </w:r>
      <w:r>
        <w:t xml:space="preserve">«Подписан МО» (рис. </w:t>
      </w:r>
      <w:r>
        <w:fldChar w:fldCharType="begin"/>
      </w:r>
      <w:r>
        <w:instrText xml:space="preserve"> REF _Ref196227968 \h\#\0 </w:instrText>
      </w:r>
      <w:r>
        <w:fldChar w:fldCharType="separate"/>
      </w:r>
      <w:r>
        <w:t>137</w:t>
      </w:r>
      <w:r>
        <w:fldChar w:fldCharType="end"/>
      </w:r>
      <w:r>
        <w:t>).</w:t>
      </w:r>
    </w:p>
    <w:p w14:paraId="3624C621">
      <w:pPr>
        <w:pStyle w:val="48"/>
      </w:pPr>
      <w:r>
        <w:drawing>
          <wp:inline distT="0" distB="0" distL="0" distR="0">
            <wp:extent cx="3959860" cy="826135"/>
            <wp:effectExtent l="19050" t="19050" r="21590" b="12065"/>
            <wp:docPr id="20084516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451638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82662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B5CAE2B">
      <w:pPr>
        <w:pStyle w:val="49"/>
      </w:pPr>
      <w:bookmarkStart w:id="557" w:name="_Ref1962279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137</w:t>
      </w:r>
      <w:r>
        <w:fldChar w:fldCharType="end"/>
      </w:r>
      <w:bookmarkEnd w:id="557"/>
      <w:r>
        <w:t xml:space="preserve"> —</w:t>
      </w:r>
      <w:r>
        <w:rPr>
          <w:lang w:val="en-US"/>
        </w:rPr>
        <w:t xml:space="preserve"> </w:t>
      </w:r>
      <w:r>
        <w:t>Отправка счета плательщику</w:t>
      </w:r>
    </w:p>
    <w:p w14:paraId="7D92607D">
      <w:pPr>
        <w:pStyle w:val="39"/>
      </w:pPr>
      <w:bookmarkStart w:id="558" w:name="_Toc131174717"/>
      <w:bookmarkStart w:id="559" w:name="_Toc225871522"/>
      <w:bookmarkStart w:id="560" w:name="_Toc117069396"/>
      <w:bookmarkStart w:id="561" w:name="_Ref142477416"/>
      <w:bookmarkStart w:id="562" w:name="_Toc149209657"/>
      <w:r>
        <w:t>Отправка счета плательщику</w:t>
      </w:r>
      <w:bookmarkEnd w:id="558"/>
      <w:bookmarkEnd w:id="559"/>
      <w:bookmarkEnd w:id="560"/>
      <w:bookmarkEnd w:id="561"/>
      <w:bookmarkEnd w:id="562"/>
    </w:p>
    <w:p w14:paraId="738C9671">
      <w:pPr>
        <w:pStyle w:val="44"/>
      </w:pPr>
      <w:r>
        <w:t>Отправка счетов плательщику возможна только в отчетный период. Вне рамок фиксированного отчетного периода функция отправки Плательщику не активна и МО доступно только формирование счета.</w:t>
      </w:r>
    </w:p>
    <w:p w14:paraId="737450C7">
      <w:pPr>
        <w:pStyle w:val="44"/>
      </w:pPr>
      <w:r>
        <w:t>Отправке подлежат только счета в статусе «Подписан МО».</w:t>
      </w:r>
    </w:p>
    <w:p w14:paraId="504BD981">
      <w:pPr>
        <w:pStyle w:val="44"/>
      </w:pPr>
      <w:r>
        <w:t>Для отправки счета плательщику необходимо перейти в раздел «Реестр счетов».</w:t>
      </w:r>
    </w:p>
    <w:p w14:paraId="08E40368">
      <w:pPr>
        <w:pStyle w:val="44"/>
      </w:pPr>
      <w:r>
        <w:t xml:space="preserve">В блоке «Фильтр» панели фильтрации и поиска информации указать год и месяц отчетного периода (см. рис. </w:t>
      </w:r>
      <w:r>
        <w:fldChar w:fldCharType="begin"/>
      </w:r>
      <w:r>
        <w:instrText xml:space="preserve"> REF  _Ref133511648 \h\#\0   \* MERGEFORMAT </w:instrText>
      </w:r>
      <w:r>
        <w:fldChar w:fldCharType="separate"/>
      </w:r>
      <w:r>
        <w:t>118</w:t>
      </w:r>
      <w:r>
        <w:fldChar w:fldCharType="end"/>
      </w:r>
      <w:r>
        <w:t>) и нажать кнопку «Найти».</w:t>
      </w:r>
    </w:p>
    <w:p w14:paraId="2E636295">
      <w:pPr>
        <w:pStyle w:val="44"/>
      </w:pPr>
      <w:r>
        <w:t>В «Реестре счетов» отобразятся сведения о счетах за выбранный отчетный период.</w:t>
      </w:r>
    </w:p>
    <w:p w14:paraId="2C7AB26A">
      <w:pPr>
        <w:pStyle w:val="44"/>
      </w:pPr>
      <w:r>
        <w:t xml:space="preserve">Для отправки счета плательщику выбрать счета плательщика в статусе «Подписан МО» и нажать кнопку «Отправить» (рис. </w:t>
      </w:r>
      <w:r>
        <w:fldChar w:fldCharType="begin"/>
      </w:r>
      <w:r>
        <w:instrText xml:space="preserve"> REF  _Ref133512618 \h\#\0   \* MERGEFORMAT </w:instrText>
      </w:r>
      <w:r>
        <w:fldChar w:fldCharType="separate"/>
      </w:r>
      <w:r>
        <w:t>138</w:t>
      </w:r>
      <w:r>
        <w:fldChar w:fldCharType="end"/>
      </w:r>
      <w:r>
        <w:t>).</w:t>
      </w:r>
    </w:p>
    <w:p w14:paraId="35C9B1A4">
      <w:pPr>
        <w:pStyle w:val="46"/>
      </w:pPr>
      <w:r>
        <w:rPr>
          <w:rStyle w:val="47"/>
        </w:rPr>
        <w:t>Примечание</w:t>
      </w:r>
      <w:r>
        <w:t xml:space="preserve"> — Возможность отправить счет доступна только пользователю МО, которой принадлежит «ТПГГ и ПГГ» счета.</w:t>
      </w:r>
    </w:p>
    <w:p w14:paraId="15B0AD4F">
      <w:pPr>
        <w:pStyle w:val="48"/>
      </w:pPr>
      <w:r>
        <w:drawing>
          <wp:inline distT="0" distB="0" distL="0" distR="0">
            <wp:extent cx="4319905" cy="901700"/>
            <wp:effectExtent l="19050" t="19050" r="23495" b="12700"/>
            <wp:docPr id="100924339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4339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9017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6119495" cy="3331210"/>
            <wp:effectExtent l="19050" t="19050" r="14605" b="21590"/>
            <wp:docPr id="6113501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350168" name="Рисунок 1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312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5F5632D">
      <w:pPr>
        <w:pStyle w:val="49"/>
      </w:pPr>
      <w:bookmarkStart w:id="563" w:name="_Ref1335126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138</w:t>
      </w:r>
      <w:r>
        <w:fldChar w:fldCharType="end"/>
      </w:r>
      <w:bookmarkEnd w:id="563"/>
      <w:r>
        <w:t xml:space="preserve"> — Отправка счета плательщику</w:t>
      </w:r>
    </w:p>
    <w:p w14:paraId="21EA8706">
      <w:pPr>
        <w:pStyle w:val="44"/>
      </w:pPr>
      <w:r>
        <w:t xml:space="preserve">При успешной отправке </w:t>
      </w:r>
      <w:bookmarkStart w:id="564" w:name="_Hlk154481474"/>
      <w:r>
        <w:t xml:space="preserve">статус счета изменится на значение «Отправлен» </w:t>
      </w:r>
      <w:bookmarkEnd w:id="564"/>
      <w:r>
        <w:t xml:space="preserve">(рис. </w:t>
      </w:r>
      <w:r>
        <w:fldChar w:fldCharType="begin"/>
      </w:r>
      <w:r>
        <w:instrText xml:space="preserve"> REF  _Ref153971360 \h\#\0   \* MERGEFORMAT </w:instrText>
      </w:r>
      <w:r>
        <w:fldChar w:fldCharType="separate"/>
      </w:r>
      <w:r>
        <w:t>139</w:t>
      </w:r>
      <w:r>
        <w:fldChar w:fldCharType="end"/>
      </w:r>
      <w:r>
        <w:t>).</w:t>
      </w:r>
    </w:p>
    <w:p w14:paraId="3D4AA435">
      <w:pPr>
        <w:pStyle w:val="48"/>
      </w:pPr>
      <w:r>
        <w:drawing>
          <wp:inline distT="0" distB="0" distL="0" distR="0">
            <wp:extent cx="4319905" cy="882015"/>
            <wp:effectExtent l="19050" t="19050" r="23495" b="13335"/>
            <wp:docPr id="193066535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6535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88248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8A537A">
      <w:pPr>
        <w:pStyle w:val="49"/>
      </w:pPr>
      <w:bookmarkStart w:id="565" w:name="_Ref1539713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139</w:t>
      </w:r>
      <w:r>
        <w:fldChar w:fldCharType="end"/>
      </w:r>
      <w:bookmarkEnd w:id="565"/>
      <w:r>
        <w:t xml:space="preserve"> — Счет плательщику. Статус «Отправлен»</w:t>
      </w:r>
    </w:p>
    <w:p w14:paraId="1CB16170">
      <w:pPr>
        <w:pStyle w:val="44"/>
      </w:pPr>
      <w:bookmarkStart w:id="566" w:name="_Hlk154481646"/>
      <w:r>
        <w:t xml:space="preserve">В каждый счет МО по всем видам плательщиков ФОМС/СМО/ТФОМС входит XML-файл единого формата по всем видам плательщика с отчетной информацией по реестру медицинских услуг, оказанных в отчетном периоде: U-файл, Паспорт счета, Справочник версий пакета НСИ; </w:t>
      </w:r>
      <w:r>
        <w:rPr>
          <w:lang w:val="en-US"/>
        </w:rPr>
        <w:t>H</w:t>
      </w:r>
      <w:r>
        <w:t xml:space="preserve">-файл. Скачать для просмотра U-файл можно в разделе «Информационный обмен» (см. </w:t>
      </w:r>
      <w:r>
        <w:fldChar w:fldCharType="begin"/>
      </w:r>
      <w:r>
        <w:instrText xml:space="preserve"> REF _Ref147139692 \n \h  \* MERGEFORMAT </w:instrText>
      </w:r>
      <w:r>
        <w:fldChar w:fldCharType="separate"/>
      </w:r>
      <w:r>
        <w:t>4.4</w:t>
      </w:r>
      <w:r>
        <w:fldChar w:fldCharType="end"/>
      </w:r>
      <w:r>
        <w:t>).</w:t>
      </w:r>
    </w:p>
    <w:bookmarkEnd w:id="566"/>
    <w:p w14:paraId="5BF3D1BD">
      <w:pPr>
        <w:pStyle w:val="39"/>
      </w:pPr>
      <w:bookmarkStart w:id="567" w:name="_Ref489262248"/>
      <w:bookmarkStart w:id="568" w:name="_Ref485989624"/>
      <w:bookmarkStart w:id="569" w:name="_Toc117069397"/>
      <w:bookmarkStart w:id="570" w:name="_Toc131174718"/>
      <w:bookmarkStart w:id="571" w:name="_Ref224815360"/>
      <w:bookmarkStart w:id="572" w:name="_Toc149209658"/>
      <w:bookmarkStart w:id="573" w:name="_Toc225871523"/>
      <w:bookmarkStart w:id="574" w:name="_Ref224815378"/>
      <w:r>
        <w:t>Статусы</w:t>
      </w:r>
      <w:bookmarkEnd w:id="567"/>
      <w:bookmarkEnd w:id="568"/>
      <w:r>
        <w:t xml:space="preserve"> счетов</w:t>
      </w:r>
      <w:bookmarkEnd w:id="569"/>
      <w:bookmarkEnd w:id="570"/>
      <w:bookmarkEnd w:id="571"/>
      <w:bookmarkEnd w:id="572"/>
      <w:bookmarkEnd w:id="573"/>
      <w:bookmarkEnd w:id="574"/>
    </w:p>
    <w:p w14:paraId="33C22783">
      <w:pPr>
        <w:pStyle w:val="44"/>
      </w:pPr>
      <w:r>
        <w:t xml:space="preserve">В таблице </w:t>
      </w:r>
      <w:r>
        <w:fldChar w:fldCharType="begin"/>
      </w:r>
      <w:r>
        <w:instrText xml:space="preserve"> REF  _Ref133512671 \h\#\0   \* MERGEFORMAT </w:instrText>
      </w:r>
      <w:r>
        <w:fldChar w:fldCharType="separate"/>
      </w:r>
      <w:r>
        <w:t>3</w:t>
      </w:r>
      <w:r>
        <w:fldChar w:fldCharType="end"/>
      </w:r>
      <w:r>
        <w:t xml:space="preserve"> представлено описание статусов счетов, отражающих состояние счета от стадии формирования и отправки счета плательщику до получения ответа от плательщика.</w:t>
      </w:r>
    </w:p>
    <w:p w14:paraId="3A729CFD">
      <w:pPr>
        <w:pStyle w:val="79"/>
      </w:pPr>
      <w:bookmarkStart w:id="575" w:name="_Ref133512671"/>
      <w:bookmarkStart w:id="576" w:name="_Ref143591359"/>
      <w:r>
        <w:rPr>
          <w:rStyle w:val="47"/>
        </w:rP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3</w:t>
      </w:r>
      <w:r>
        <w:fldChar w:fldCharType="end"/>
      </w:r>
      <w:bookmarkEnd w:id="575"/>
      <w:r>
        <w:t xml:space="preserve"> — Статусы счетов</w:t>
      </w:r>
      <w:bookmarkEnd w:id="576"/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4446"/>
        <w:gridCol w:w="5305"/>
      </w:tblGrid>
      <w:tr w14:paraId="6C84D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  <w:tblHeader/>
        </w:trPr>
        <w:tc>
          <w:tcPr>
            <w:tcW w:w="2280" w:type="pct"/>
            <w:tcBorders>
              <w:bottom w:val="double" w:color="auto" w:sz="4" w:space="0"/>
            </w:tcBorders>
            <w:vAlign w:val="center"/>
          </w:tcPr>
          <w:p w14:paraId="52199C25">
            <w:pPr>
              <w:pStyle w:val="53"/>
              <w:rPr>
                <w:bCs/>
              </w:rPr>
            </w:pPr>
            <w:r>
              <w:t>Статус счета</w:t>
            </w:r>
          </w:p>
        </w:tc>
        <w:tc>
          <w:tcPr>
            <w:tcW w:w="2720" w:type="pct"/>
            <w:tcBorders>
              <w:bottom w:val="double" w:color="auto" w:sz="4" w:space="0"/>
            </w:tcBorders>
            <w:vAlign w:val="center"/>
          </w:tcPr>
          <w:p w14:paraId="3B880717">
            <w:pPr>
              <w:pStyle w:val="53"/>
              <w:rPr>
                <w:bCs/>
              </w:rPr>
            </w:pPr>
            <w:r>
              <w:t>Описание состояния счета</w:t>
            </w:r>
          </w:p>
        </w:tc>
      </w:tr>
      <w:tr w14:paraId="00EED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  <w:tcBorders>
              <w:top w:val="double" w:color="auto" w:sz="4" w:space="0"/>
            </w:tcBorders>
          </w:tcPr>
          <w:p w14:paraId="3FBC0546">
            <w:pPr>
              <w:pStyle w:val="54"/>
            </w:pPr>
            <w:r>
              <w:t>Черновик</w:t>
            </w:r>
          </w:p>
        </w:tc>
        <w:tc>
          <w:tcPr>
            <w:tcW w:w="2720" w:type="pct"/>
            <w:tcBorders>
              <w:top w:val="double" w:color="auto" w:sz="4" w:space="0"/>
            </w:tcBorders>
          </w:tcPr>
          <w:p w14:paraId="2B233682">
            <w:pPr>
              <w:pStyle w:val="54"/>
            </w:pPr>
            <w:r>
              <w:t>Технический статус. Счет не сформирован МО</w:t>
            </w:r>
          </w:p>
        </w:tc>
      </w:tr>
      <w:tr w14:paraId="0BBBD5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  <w:tcBorders>
              <w:top w:val="single" w:color="auto" w:sz="4" w:space="0"/>
            </w:tcBorders>
          </w:tcPr>
          <w:p w14:paraId="65E7B346">
            <w:pPr>
              <w:pStyle w:val="54"/>
            </w:pPr>
            <w:r>
              <w:t>Техническая ошибка</w:t>
            </w:r>
          </w:p>
        </w:tc>
        <w:tc>
          <w:tcPr>
            <w:tcW w:w="2720" w:type="pct"/>
            <w:tcBorders>
              <w:top w:val="single" w:color="auto" w:sz="4" w:space="0"/>
            </w:tcBorders>
          </w:tcPr>
          <w:p w14:paraId="04D5737B">
            <w:pPr>
              <w:pStyle w:val="54"/>
            </w:pPr>
            <w:r>
              <w:t>Ошибка из-за технической неисправности. Необходимо переформировать счет на стороне МО</w:t>
            </w:r>
          </w:p>
        </w:tc>
      </w:tr>
      <w:tr w14:paraId="1AFE0C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3FFE5D52">
            <w:pPr>
              <w:pStyle w:val="54"/>
            </w:pPr>
            <w:r>
              <w:t>Ошибка (предыдущий успешный статус)</w:t>
            </w:r>
          </w:p>
        </w:tc>
        <w:tc>
          <w:tcPr>
            <w:tcW w:w="2720" w:type="pct"/>
          </w:tcPr>
          <w:p w14:paraId="1C4EED9B">
            <w:pPr>
              <w:pStyle w:val="54"/>
            </w:pPr>
            <w:r>
              <w:t>Технический статус, возникает при сбоях системы либо нарушении процессов со стороны пользователя</w:t>
            </w:r>
          </w:p>
        </w:tc>
      </w:tr>
      <w:tr w14:paraId="50C33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1F3194DD">
            <w:pPr>
              <w:pStyle w:val="54"/>
            </w:pPr>
            <w:r>
              <w:t>Формирование</w:t>
            </w:r>
          </w:p>
        </w:tc>
        <w:tc>
          <w:tcPr>
            <w:tcW w:w="2720" w:type="pct"/>
          </w:tcPr>
          <w:p w14:paraId="4C28B561">
            <w:pPr>
              <w:pStyle w:val="54"/>
            </w:pPr>
            <w:r>
              <w:t>Счет на этапе формирования на стороне МО</w:t>
            </w:r>
          </w:p>
        </w:tc>
      </w:tr>
      <w:tr w14:paraId="70BB0D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6BD2A7D6">
            <w:pPr>
              <w:pStyle w:val="54"/>
            </w:pPr>
            <w:r>
              <w:t>Сформирован</w:t>
            </w:r>
          </w:p>
        </w:tc>
        <w:tc>
          <w:tcPr>
            <w:tcW w:w="2720" w:type="pct"/>
          </w:tcPr>
          <w:p w14:paraId="0B7DB5FB">
            <w:pPr>
              <w:pStyle w:val="54"/>
            </w:pPr>
            <w:r>
              <w:t>Счет сформирован, готов к подписанию МО</w:t>
            </w:r>
          </w:p>
        </w:tc>
      </w:tr>
      <w:tr w14:paraId="7E711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530BD8CA">
            <w:pPr>
              <w:pStyle w:val="54"/>
            </w:pPr>
            <w:r>
              <w:t>Подготавливается к отправке плательщику</w:t>
            </w:r>
          </w:p>
        </w:tc>
        <w:tc>
          <w:tcPr>
            <w:tcW w:w="2720" w:type="pct"/>
          </w:tcPr>
          <w:p w14:paraId="0888AD68">
            <w:pPr>
              <w:pStyle w:val="54"/>
            </w:pPr>
            <w:r>
              <w:t>Сформированный счет подготавливается к отправке</w:t>
            </w:r>
          </w:p>
        </w:tc>
      </w:tr>
      <w:tr w14:paraId="124B98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52A9CD43">
            <w:pPr>
              <w:pStyle w:val="54"/>
            </w:pPr>
            <w:r>
              <w:t>Подписывается МО</w:t>
            </w:r>
          </w:p>
        </w:tc>
        <w:tc>
          <w:tcPr>
            <w:tcW w:w="2720" w:type="pct"/>
          </w:tcPr>
          <w:p w14:paraId="573473CE">
            <w:pPr>
              <w:pStyle w:val="54"/>
            </w:pPr>
            <w:r>
              <w:t>Счет на этапе подписания ЭЦП на стороне МО</w:t>
            </w:r>
          </w:p>
        </w:tc>
      </w:tr>
      <w:tr w14:paraId="420FF4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791F96F8">
            <w:pPr>
              <w:pStyle w:val="54"/>
            </w:pPr>
            <w:r>
              <w:t>Подписан МО</w:t>
            </w:r>
          </w:p>
        </w:tc>
        <w:tc>
          <w:tcPr>
            <w:tcW w:w="2720" w:type="pct"/>
          </w:tcPr>
          <w:p w14:paraId="4BEF9ABC">
            <w:pPr>
              <w:pStyle w:val="54"/>
            </w:pPr>
            <w:r>
              <w:t>Подписан МО, готов к отправке Плательщику</w:t>
            </w:r>
          </w:p>
        </w:tc>
      </w:tr>
      <w:tr w14:paraId="3213A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7930AE13">
            <w:pPr>
              <w:pStyle w:val="54"/>
            </w:pPr>
            <w:r>
              <w:t>Отправлен плательщику</w:t>
            </w:r>
          </w:p>
        </w:tc>
        <w:tc>
          <w:tcPr>
            <w:tcW w:w="2720" w:type="pct"/>
          </w:tcPr>
          <w:p w14:paraId="5B93042A">
            <w:pPr>
              <w:pStyle w:val="54"/>
            </w:pPr>
            <w:r>
              <w:t>Счет отправлен Плательщику, возможно проведения МЭК и формирования предварительного/финального ответа</w:t>
            </w:r>
          </w:p>
        </w:tc>
      </w:tr>
      <w:tr w14:paraId="42E8F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3671D3E8">
            <w:pPr>
              <w:pStyle w:val="54"/>
            </w:pPr>
            <w:r>
              <w:t>Идет перерасчет МЭК</w:t>
            </w:r>
          </w:p>
        </w:tc>
        <w:tc>
          <w:tcPr>
            <w:tcW w:w="2720" w:type="pct"/>
          </w:tcPr>
          <w:p w14:paraId="47DB4B6A">
            <w:pPr>
              <w:pStyle w:val="54"/>
            </w:pPr>
            <w:r>
              <w:t>Идет перерасчет МЭК на стороне плательщика</w:t>
            </w:r>
          </w:p>
        </w:tc>
      </w:tr>
      <w:tr w14:paraId="4B4DE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7F417407">
            <w:pPr>
              <w:pStyle w:val="54"/>
            </w:pPr>
            <w:r>
              <w:t>Формирование предварительного ответа плательщика</w:t>
            </w:r>
          </w:p>
        </w:tc>
        <w:tc>
          <w:tcPr>
            <w:tcW w:w="2720" w:type="pct"/>
          </w:tcPr>
          <w:p w14:paraId="0D0D1E3E">
            <w:pPr>
              <w:pStyle w:val="54"/>
            </w:pPr>
            <w:r>
              <w:t>Предварительный ответ Плательщика на этапе формирования</w:t>
            </w:r>
          </w:p>
        </w:tc>
      </w:tr>
      <w:tr w14:paraId="10E62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05BDAAD9">
            <w:pPr>
              <w:pStyle w:val="54"/>
            </w:pPr>
            <w:r>
              <w:t>Предварительный ответ плательщика сформирован</w:t>
            </w:r>
          </w:p>
        </w:tc>
        <w:tc>
          <w:tcPr>
            <w:tcW w:w="2720" w:type="pct"/>
          </w:tcPr>
          <w:p w14:paraId="5850053F">
            <w:pPr>
              <w:pStyle w:val="54"/>
            </w:pPr>
            <w:r>
              <w:t>Предварительный ответ готов к отправке в МО. Возможен перерасчёт МЭК</w:t>
            </w:r>
          </w:p>
        </w:tc>
      </w:tr>
      <w:tr w14:paraId="08704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6885CBF0">
            <w:pPr>
              <w:pStyle w:val="54"/>
            </w:pPr>
            <w:r>
              <w:t>Отправка предварительного ответа</w:t>
            </w:r>
          </w:p>
        </w:tc>
        <w:tc>
          <w:tcPr>
            <w:tcW w:w="2720" w:type="pct"/>
          </w:tcPr>
          <w:p w14:paraId="6FED94BF">
            <w:pPr>
              <w:pStyle w:val="54"/>
            </w:pPr>
            <w:r>
              <w:t>Предварительный ответ отправлен в МО, возможно повторное формирование счета</w:t>
            </w:r>
          </w:p>
        </w:tc>
      </w:tr>
      <w:tr w14:paraId="52751F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563CDC8E">
            <w:pPr>
              <w:pStyle w:val="54"/>
            </w:pPr>
            <w:r>
              <w:t>Формируется ответ плательщика (финальный)</w:t>
            </w:r>
          </w:p>
        </w:tc>
        <w:tc>
          <w:tcPr>
            <w:tcW w:w="2720" w:type="pct"/>
          </w:tcPr>
          <w:p w14:paraId="77E62061">
            <w:pPr>
              <w:pStyle w:val="54"/>
            </w:pPr>
            <w:r>
              <w:t>Финальный ответ Плательщика на этапе формирования</w:t>
            </w:r>
          </w:p>
        </w:tc>
      </w:tr>
      <w:tr w14:paraId="29E76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724836DE">
            <w:pPr>
              <w:pStyle w:val="54"/>
            </w:pPr>
            <w:r>
              <w:t>Сформирован ответ плательщика (финальный)</w:t>
            </w:r>
          </w:p>
        </w:tc>
        <w:tc>
          <w:tcPr>
            <w:tcW w:w="2720" w:type="pct"/>
          </w:tcPr>
          <w:p w14:paraId="576DC9E6">
            <w:pPr>
              <w:pStyle w:val="54"/>
            </w:pPr>
            <w:r>
              <w:t>Финальный ответ Плательщика сформирован, готов к подписанию. Возможен перерасчет МЭК</w:t>
            </w:r>
          </w:p>
        </w:tc>
      </w:tr>
      <w:tr w14:paraId="56F0B3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2CAA9E31">
            <w:pPr>
              <w:pStyle w:val="54"/>
              <w:rPr>
                <w:lang w:val="en-US"/>
              </w:rPr>
            </w:pPr>
            <w:r>
              <w:t xml:space="preserve">Подписывается плательщиком </w:t>
            </w:r>
          </w:p>
        </w:tc>
        <w:tc>
          <w:tcPr>
            <w:tcW w:w="2720" w:type="pct"/>
          </w:tcPr>
          <w:p w14:paraId="28837A1F">
            <w:pPr>
              <w:pStyle w:val="54"/>
            </w:pPr>
            <w:r>
              <w:t>Финальный ответ Плательщика на этапе подписания ЭЦП</w:t>
            </w:r>
          </w:p>
        </w:tc>
      </w:tr>
      <w:tr w14:paraId="18BAA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6B17B7B7">
            <w:pPr>
              <w:pStyle w:val="54"/>
            </w:pPr>
            <w:r>
              <w:t>Подписан плательщиком</w:t>
            </w:r>
          </w:p>
        </w:tc>
        <w:tc>
          <w:tcPr>
            <w:tcW w:w="2720" w:type="pct"/>
          </w:tcPr>
          <w:p w14:paraId="07EFE1EB">
            <w:pPr>
              <w:pStyle w:val="54"/>
            </w:pPr>
            <w:r>
              <w:t>Финальный ответ Плательщика подписан, готов к отправке в МО</w:t>
            </w:r>
          </w:p>
        </w:tc>
      </w:tr>
      <w:tr w14:paraId="5EFFB6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2280" w:type="pct"/>
          </w:tcPr>
          <w:p w14:paraId="4AA68E70">
            <w:pPr>
              <w:pStyle w:val="54"/>
            </w:pPr>
            <w:r>
              <w:t>Отправлен ответ плательщика МО (финальный)</w:t>
            </w:r>
          </w:p>
        </w:tc>
        <w:tc>
          <w:tcPr>
            <w:tcW w:w="2720" w:type="pct"/>
          </w:tcPr>
          <w:p w14:paraId="72B32E2F">
            <w:pPr>
              <w:pStyle w:val="54"/>
            </w:pPr>
            <w:r>
              <w:t>Финальный ответ Плательщика отправлен в МО. Возможен перерасчет МЭК. Возможно формирование новой версии счета если отчетный период не закрыт</w:t>
            </w:r>
          </w:p>
        </w:tc>
      </w:tr>
    </w:tbl>
    <w:p w14:paraId="3A315EC3">
      <w:pPr>
        <w:pStyle w:val="44"/>
      </w:pPr>
    </w:p>
    <w:p w14:paraId="76BBF0D6">
      <w:pPr>
        <w:pStyle w:val="39"/>
        <w:rPr>
          <w:lang w:eastAsia="en-US"/>
        </w:rPr>
      </w:pPr>
      <w:bookmarkStart w:id="577" w:name="_Toc149209660"/>
      <w:bookmarkStart w:id="578" w:name="_Toc225871524"/>
      <w:bookmarkStart w:id="579" w:name="_Ref142477749"/>
      <w:r>
        <w:rPr>
          <w:lang w:eastAsia="en-US"/>
        </w:rPr>
        <w:t>Просмотр результатов МЭК</w:t>
      </w:r>
      <w:bookmarkEnd w:id="577"/>
      <w:bookmarkEnd w:id="578"/>
      <w:bookmarkEnd w:id="579"/>
    </w:p>
    <w:p w14:paraId="2313423F">
      <w:pPr>
        <w:pStyle w:val="44"/>
      </w:pPr>
      <w:bookmarkStart w:id="580" w:name="_Hlk154482378"/>
      <w:r>
        <w:t>После получения счета МО Плательщик проводит медико-экономический контроль (МЭК) в целях установления соответствия сведений об объемах и стоимости оказанной застрахованным лицам МП на основании представленных к оплате медицинской организацией реестров счетов условиям договоров на оказание и оплату МП по ОМС или договоров на оказание и оплату МП в рамках базовой программы ОМС программам ОМС, объемам предоставления и финансового обеспечения медицинской помощи, способам оплаты МП и тарифам на оплату МП.</w:t>
      </w:r>
    </w:p>
    <w:p w14:paraId="34E13225">
      <w:pPr>
        <w:pStyle w:val="44"/>
      </w:pPr>
      <w:r>
        <w:t>Медико-экономический контроль счета является информирующим. Несоответствие данных счета одному из контролей является признаком того, что соответствующий случай оказания МП (СЭФД) будет снят с оплаты.</w:t>
      </w:r>
    </w:p>
    <w:p w14:paraId="38A68A22">
      <w:pPr>
        <w:pStyle w:val="44"/>
      </w:pPr>
      <w:r>
        <w:t>Ознакомиться с результатами МЭК можно после получения ответа Плательщика в</w:t>
      </w:r>
      <w:r>
        <w:rPr>
          <w:lang w:val="en-US"/>
        </w:rPr>
        <w:t> </w:t>
      </w:r>
      <w:r>
        <w:t>разделе «Информационный обмен» (см. </w:t>
      </w:r>
      <w:r>
        <w:fldChar w:fldCharType="begin"/>
      </w:r>
      <w:r>
        <w:instrText xml:space="preserve"> REF _Ref147139692 \n \h  \* MERGEFORMAT </w:instrText>
      </w:r>
      <w:r>
        <w:fldChar w:fldCharType="separate"/>
      </w:r>
      <w:r>
        <w:t>4.4</w:t>
      </w:r>
      <w:r>
        <w:fldChar w:fldCharType="end"/>
      </w:r>
      <w:r>
        <w:t>).</w:t>
      </w:r>
    </w:p>
    <w:p w14:paraId="07A530F3">
      <w:pPr>
        <w:pStyle w:val="44"/>
      </w:pPr>
      <w:r>
        <w:t xml:space="preserve">При наличии ошибок по результатам МЭК необходимо внести изменения в СЭФД в режиме редактирования (см. </w:t>
      </w:r>
      <w:r>
        <w:fldChar w:fldCharType="begin"/>
      </w:r>
      <w:r>
        <w:instrText xml:space="preserve"> REF _Ref142477152 \n  \* MERGEFORMAT </w:instrText>
      </w:r>
      <w:r>
        <w:fldChar w:fldCharType="separate"/>
      </w:r>
      <w:r>
        <w:t>4.2.8</w:t>
      </w:r>
      <w:r>
        <w:fldChar w:fldCharType="end"/>
      </w:r>
      <w:r>
        <w:t>).</w:t>
      </w:r>
    </w:p>
    <w:p w14:paraId="67539D09">
      <w:pPr>
        <w:pStyle w:val="44"/>
      </w:pPr>
      <w:r>
        <w:t>После закрытия отчетного периода редактирование СЭФД недоступно.</w:t>
      </w:r>
    </w:p>
    <w:p w14:paraId="4068DAB9">
      <w:pPr>
        <w:pStyle w:val="39"/>
      </w:pPr>
      <w:bookmarkStart w:id="581" w:name="_Ref201912691"/>
      <w:bookmarkStart w:id="582" w:name="_Toc225871525"/>
      <w:r>
        <w:t>Просмотр результатов повторного МЭК</w:t>
      </w:r>
      <w:bookmarkEnd w:id="581"/>
      <w:bookmarkEnd w:id="582"/>
    </w:p>
    <w:p w14:paraId="119BBF0E">
      <w:pPr>
        <w:pStyle w:val="44"/>
      </w:pPr>
      <w:r>
        <w:t>Сведения о результатах повторного МЭК, проведенного Плательщиком на закрытом периоде, отражаются в разделе «Повторный МЭК».</w:t>
      </w:r>
    </w:p>
    <w:p w14:paraId="1EFD3961">
      <w:pPr>
        <w:pStyle w:val="44"/>
      </w:pPr>
      <w:r>
        <w:t xml:space="preserve">Для перехода в раздел в ленте главного меню раскрыть меню «Все разделы» и выбрать вкладку «Повторный МЭК» (рис. </w:t>
      </w:r>
      <w:r>
        <w:fldChar w:fldCharType="begin"/>
      </w:r>
      <w:r>
        <w:instrText xml:space="preserve"> REF  _Ref201841817 \h \t \#\0 \* MERGEFORMAT </w:instrText>
      </w:r>
      <w:r>
        <w:fldChar w:fldCharType="separate"/>
      </w:r>
      <w:r>
        <w:t>140</w:t>
      </w:r>
      <w:r>
        <w:fldChar w:fldCharType="end"/>
      </w:r>
      <w:r>
        <w:t>).</w:t>
      </w:r>
    </w:p>
    <w:p w14:paraId="738F080A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5399405" cy="2761615"/>
            <wp:effectExtent l="19050" t="19050" r="10795" b="19685"/>
            <wp:docPr id="339021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021383" name="Рисунок 1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619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34649D">
      <w:pPr>
        <w:pStyle w:val="49"/>
      </w:pPr>
      <w:bookmarkStart w:id="583" w:name="_Ref2018418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140</w:t>
      </w:r>
      <w:r>
        <w:fldChar w:fldCharType="end"/>
      </w:r>
      <w:bookmarkEnd w:id="583"/>
      <w:r>
        <w:t xml:space="preserve"> — Всплывающее меню «Все разделы». Выбор вкладки «Повторный МЭК»</w:t>
      </w:r>
    </w:p>
    <w:p w14:paraId="6204B3F9">
      <w:pPr>
        <w:pStyle w:val="44"/>
      </w:pPr>
      <w:r>
        <w:t xml:space="preserve">Произойдет переход в раздел «Повторный МЭК» (рис. </w:t>
      </w:r>
      <w:r>
        <w:fldChar w:fldCharType="begin"/>
      </w:r>
      <w:r>
        <w:instrText xml:space="preserve"> REF  _Ref201842324 \h \t  \#\0 \* MERGEFORMAT </w:instrText>
      </w:r>
      <w:r>
        <w:fldChar w:fldCharType="separate"/>
      </w:r>
      <w:r>
        <w:t>141</w:t>
      </w:r>
      <w:r>
        <w:fldChar w:fldCharType="end"/>
      </w:r>
      <w:r>
        <w:t>).</w:t>
      </w:r>
    </w:p>
    <w:p w14:paraId="40B9001D">
      <w:pPr>
        <w:pStyle w:val="44"/>
      </w:pPr>
      <w:r>
        <w:t>В рабочей области содержится список всех повторных МЭК.</w:t>
      </w:r>
    </w:p>
    <w:p w14:paraId="69794899">
      <w:pPr>
        <w:pStyle w:val="44"/>
      </w:pPr>
      <w:r>
        <w:t>Текущее состояние повторного МЭК отображается в поле «Статус»:</w:t>
      </w:r>
    </w:p>
    <w:p w14:paraId="1DABEF97">
      <w:pPr>
        <w:pStyle w:val="51"/>
      </w:pPr>
      <w:r>
        <w:t>«Опубликован»;</w:t>
      </w:r>
    </w:p>
    <w:p w14:paraId="715B3AC5">
      <w:pPr>
        <w:pStyle w:val="51"/>
      </w:pPr>
      <w:r>
        <w:t>«Закрыт»;</w:t>
      </w:r>
    </w:p>
    <w:p w14:paraId="55B2D1EB">
      <w:pPr>
        <w:pStyle w:val="51"/>
      </w:pPr>
      <w:r>
        <w:t>«Отменен».</w:t>
      </w:r>
    </w:p>
    <w:p w14:paraId="6CE2FA0F">
      <w:pPr>
        <w:pStyle w:val="48"/>
      </w:pPr>
      <w:r>
        <w:drawing>
          <wp:inline distT="0" distB="0" distL="0" distR="0">
            <wp:extent cx="5924550" cy="2781300"/>
            <wp:effectExtent l="19050" t="19050" r="19050" b="19050"/>
            <wp:docPr id="20731745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17453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7813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A0018A">
      <w:pPr>
        <w:pStyle w:val="49"/>
      </w:pPr>
      <w:bookmarkStart w:id="584" w:name="_Ref2018423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141</w:t>
      </w:r>
      <w:r>
        <w:fldChar w:fldCharType="end"/>
      </w:r>
      <w:bookmarkEnd w:id="584"/>
      <w:r>
        <w:t xml:space="preserve"> — Раздел «Повторный МЭК»</w:t>
      </w:r>
    </w:p>
    <w:p w14:paraId="47680125">
      <w:pPr>
        <w:pStyle w:val="44"/>
      </w:pPr>
      <w:r>
        <w:t>Табличная часть содержит основные сведения в следующих столбцах:</w:t>
      </w:r>
    </w:p>
    <w:p w14:paraId="7C00C580">
      <w:pPr>
        <w:pStyle w:val="51"/>
      </w:pPr>
      <w:r>
        <w:t>«№ п/п» — порядковый номер записи;</w:t>
      </w:r>
    </w:p>
    <w:p w14:paraId="44A5B044">
      <w:pPr>
        <w:pStyle w:val="51"/>
      </w:pPr>
      <w:r>
        <w:t>«Отчетный период» — месяц и год отчетного периода в формате ММ.ГГГГ;</w:t>
      </w:r>
    </w:p>
    <w:p w14:paraId="236808C8">
      <w:pPr>
        <w:pStyle w:val="51"/>
      </w:pPr>
      <w:r>
        <w:t>«ТПГГ и ПГГ» — код МО в системе ОМС. При наведении указателя на код отображается краткое наименование;</w:t>
      </w:r>
    </w:p>
    <w:p w14:paraId="79D33F3E">
      <w:pPr>
        <w:pStyle w:val="51"/>
      </w:pPr>
      <w:r>
        <w:t xml:space="preserve">«Плательщик» — </w:t>
      </w:r>
      <w:bookmarkStart w:id="585" w:name="_Hlk201913603"/>
      <w:r>
        <w:t xml:space="preserve">код Плательщика по справочнику F020. </w:t>
      </w:r>
      <w:bookmarkStart w:id="586" w:name="_Hlk201914109"/>
      <w:r>
        <w:t>При наведении указателя на код отображается краткое наименование</w:t>
      </w:r>
      <w:bookmarkEnd w:id="586"/>
      <w:r>
        <w:t>;</w:t>
      </w:r>
      <w:bookmarkEnd w:id="585"/>
    </w:p>
    <w:p w14:paraId="63687A3C">
      <w:pPr>
        <w:pStyle w:val="51"/>
      </w:pPr>
      <w:r>
        <w:t xml:space="preserve">«Тип счета» — смотри </w:t>
      </w:r>
      <w:r>
        <w:fldChar w:fldCharType="begin"/>
      </w:r>
      <w:r>
        <w:instrText xml:space="preserve"> REF _Ref225439903 \n \h </w:instrText>
      </w:r>
      <w:r>
        <w:fldChar w:fldCharType="separate"/>
      </w:r>
      <w:r>
        <w:t>Приложение Б</w:t>
      </w:r>
      <w:r>
        <w:fldChar w:fldCharType="end"/>
      </w:r>
      <w:r>
        <w:t>;</w:t>
      </w:r>
    </w:p>
    <w:p w14:paraId="3A263ED7">
      <w:pPr>
        <w:pStyle w:val="51"/>
      </w:pPr>
      <w:r>
        <w:t xml:space="preserve">«Вид повторного МЭК» — </w:t>
      </w:r>
      <w:bookmarkStart w:id="587" w:name="_Hlk201913643"/>
      <w:r>
        <w:t>код вида контроля по справочнику F006. При наведении указателя на код отображается наименование</w:t>
      </w:r>
      <w:bookmarkEnd w:id="587"/>
      <w:r>
        <w:t>;</w:t>
      </w:r>
    </w:p>
    <w:p w14:paraId="68459F49">
      <w:pPr>
        <w:pStyle w:val="51"/>
      </w:pPr>
      <w:r>
        <w:t>«Дата создания»</w:t>
      </w:r>
      <w:r>
        <w:rPr>
          <w:lang w:val="en-US"/>
        </w:rPr>
        <w:t>;</w:t>
      </w:r>
    </w:p>
    <w:p w14:paraId="51FCA3E9">
      <w:pPr>
        <w:pStyle w:val="51"/>
      </w:pPr>
      <w:r>
        <w:t>«Статус»</w:t>
      </w:r>
      <w:r>
        <w:rPr>
          <w:lang w:val="en-US"/>
        </w:rPr>
        <w:t>;</w:t>
      </w:r>
    </w:p>
    <w:p w14:paraId="15EAF733">
      <w:pPr>
        <w:pStyle w:val="51"/>
      </w:pPr>
      <w:r>
        <w:t>«Дата изменения статуса».</w:t>
      </w:r>
    </w:p>
    <w:p w14:paraId="223E32F7">
      <w:pPr>
        <w:pStyle w:val="44"/>
      </w:pPr>
      <w:r>
        <w:t xml:space="preserve">Поиск повторного МЭК для просмотра возможен как по одному, так и по нескольким параметрам одновременно (рис. </w:t>
      </w:r>
      <w:r>
        <w:fldChar w:fldCharType="begin"/>
      </w:r>
      <w:r>
        <w:instrText xml:space="preserve"> REF  _Ref201843156 \h \t  \#\0 \* MERGEFORMAT </w:instrText>
      </w:r>
      <w:r>
        <w:fldChar w:fldCharType="separate"/>
      </w:r>
      <w:r>
        <w:t>142</w:t>
      </w:r>
      <w:r>
        <w:fldChar w:fldCharType="end"/>
      </w:r>
      <w:r>
        <w:t>).</w:t>
      </w:r>
    </w:p>
    <w:p w14:paraId="2396AD73">
      <w:pPr>
        <w:pStyle w:val="44"/>
      </w:pPr>
      <w:r>
        <w:t xml:space="preserve">Для просмотра списка всех МЭК за определенный закрытый период необходимо в панели фильтрации в блоке «Дельта» (рис. </w:t>
      </w:r>
      <w:r>
        <w:fldChar w:fldCharType="begin"/>
      </w:r>
      <w:r>
        <w:instrText xml:space="preserve"> REF  _Ref201843156 \h \t  \#\0 \* MERGEFORMAT </w:instrText>
      </w:r>
      <w:r>
        <w:fldChar w:fldCharType="separate"/>
      </w:r>
      <w:r>
        <w:t>142</w:t>
      </w:r>
      <w:r>
        <w:fldChar w:fldCharType="end"/>
      </w:r>
      <w:r>
        <w:t>) указать год и месяц отчетного периода.</w:t>
      </w:r>
    </w:p>
    <w:p w14:paraId="745CDF31">
      <w:pPr>
        <w:pStyle w:val="44"/>
      </w:pPr>
      <w:r>
        <w:t>Для поиска повторного МЭК по видам контроля раскрыть справочник в поле «Вид контроля» и выбрать одно из значений:</w:t>
      </w:r>
    </w:p>
    <w:p w14:paraId="75080FFC">
      <w:pPr>
        <w:pStyle w:val="51"/>
      </w:pPr>
      <w:r>
        <w:t>10 — Повторный медико-экономический контроль в плановом порядке;</w:t>
      </w:r>
    </w:p>
    <w:p w14:paraId="515A3CF8">
      <w:pPr>
        <w:pStyle w:val="51"/>
      </w:pPr>
      <w:r>
        <w:t>11 — Повторный медико-экономический контроль по претензиям МО;</w:t>
      </w:r>
    </w:p>
    <w:p w14:paraId="535D25E9">
      <w:pPr>
        <w:pStyle w:val="51"/>
      </w:pPr>
      <w:r>
        <w:t>12 — Повторный медико-экономический контроль по другим причинам.</w:t>
      </w:r>
    </w:p>
    <w:p w14:paraId="4CBF0E04">
      <w:pPr>
        <w:pStyle w:val="48"/>
      </w:pPr>
      <w:r>
        <w:drawing>
          <wp:inline distT="0" distB="0" distL="0" distR="0">
            <wp:extent cx="3609975" cy="3838575"/>
            <wp:effectExtent l="19050" t="19050" r="28575" b="28575"/>
            <wp:docPr id="20577388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738867" name="Рисунок 1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610479" cy="383911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88984CC">
      <w:pPr>
        <w:pStyle w:val="49"/>
      </w:pPr>
      <w:bookmarkStart w:id="588" w:name="_Ref2018431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142</w:t>
      </w:r>
      <w:r>
        <w:fldChar w:fldCharType="end"/>
      </w:r>
      <w:bookmarkEnd w:id="588"/>
      <w:r>
        <w:t xml:space="preserve"> — Повторный МЭК. Выбор отчетного периода и вида повторного МЭК</w:t>
      </w:r>
    </w:p>
    <w:p w14:paraId="5BD7D33E">
      <w:pPr>
        <w:pStyle w:val="44"/>
      </w:pPr>
      <w:r>
        <w:t>Указать параметры поиска и нажать кнопку «Найти».</w:t>
      </w:r>
    </w:p>
    <w:p w14:paraId="7B52CBDB">
      <w:pPr>
        <w:pStyle w:val="44"/>
      </w:pPr>
      <w:r>
        <w:t xml:space="preserve">В блоке вывода результатов отобразится список сформированных повторных МЭК за выбранный отчетный период, удовлетворяющих заданным параметрам поиска (рис. </w:t>
      </w:r>
      <w:r>
        <w:fldChar w:fldCharType="begin"/>
      </w:r>
      <w:r>
        <w:instrText xml:space="preserve"> REF  _Ref206115173 \h \t \#\0 \* MERGEFORMAT </w:instrText>
      </w:r>
      <w:r>
        <w:fldChar w:fldCharType="separate"/>
      </w:r>
      <w:r>
        <w:t>143</w:t>
      </w:r>
      <w:r>
        <w:fldChar w:fldCharType="end"/>
      </w:r>
      <w:r>
        <w:t>).</w:t>
      </w:r>
    </w:p>
    <w:p w14:paraId="5C5014A7">
      <w:pPr>
        <w:pStyle w:val="48"/>
      </w:pPr>
      <w:r>
        <w:drawing>
          <wp:inline distT="0" distB="0" distL="0" distR="0">
            <wp:extent cx="5940425" cy="2878455"/>
            <wp:effectExtent l="19050" t="19050" r="22225" b="17145"/>
            <wp:docPr id="1517865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865968" name="Рисунок 1"/>
                    <pic:cNvPicPr>
                      <a:picLocks noChangeAspect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8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784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EE1EB86">
      <w:pPr>
        <w:pStyle w:val="49"/>
      </w:pPr>
      <w:bookmarkStart w:id="589" w:name="_Ref20611517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143</w:t>
      </w:r>
      <w:r>
        <w:fldChar w:fldCharType="end"/>
      </w:r>
      <w:bookmarkEnd w:id="589"/>
      <w:r>
        <w:t xml:space="preserve"> — Повторный МЭК. Результаты поиска повторного МЭК</w:t>
      </w:r>
    </w:p>
    <w:p w14:paraId="0C1F3469">
      <w:pPr>
        <w:pStyle w:val="44"/>
      </w:pPr>
      <w:r>
        <w:t xml:space="preserve">Просмотреть </w:t>
      </w:r>
      <w:bookmarkStart w:id="590" w:name="_Hlk201849106"/>
      <w:r>
        <w:t xml:space="preserve">результаты повторного МЭК </w:t>
      </w:r>
      <w:bookmarkEnd w:id="590"/>
      <w:r>
        <w:t xml:space="preserve">можно в карточке «Повторный МЭК». Для перехода в карточку необходимо дважды нажать на соответствующую строку записи. Произойдет переход в карточку выбранного Повторного МЭК (рис. </w:t>
      </w:r>
      <w:r>
        <w:fldChar w:fldCharType="begin"/>
      </w:r>
      <w:r>
        <w:instrText xml:space="preserve"> REF  _Ref201849191 \h \t \#\0 \* MERGEFORMAT </w:instrText>
      </w:r>
      <w:r>
        <w:fldChar w:fldCharType="separate"/>
      </w:r>
      <w:r>
        <w:t>144</w:t>
      </w:r>
      <w:r>
        <w:fldChar w:fldCharType="end"/>
      </w:r>
      <w:r>
        <w:t>).</w:t>
      </w:r>
    </w:p>
    <w:p w14:paraId="242A4D7A">
      <w:pPr>
        <w:pStyle w:val="48"/>
      </w:pPr>
      <w:r>
        <w:rPr>
          <w14:ligatures w14:val="standardContextual"/>
        </w:rPr>
        <w:drawing>
          <wp:inline distT="0" distB="0" distL="0" distR="0">
            <wp:extent cx="5940425" cy="2790190"/>
            <wp:effectExtent l="19050" t="19050" r="22225" b="1016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901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5EB170B">
      <w:pPr>
        <w:pStyle w:val="49"/>
      </w:pPr>
      <w:bookmarkStart w:id="591" w:name="_Ref2018491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144</w:t>
      </w:r>
      <w:r>
        <w:fldChar w:fldCharType="end"/>
      </w:r>
      <w:bookmarkEnd w:id="591"/>
      <w:r>
        <w:t xml:space="preserve"> — Карточка «Повторный МЭК»</w:t>
      </w:r>
    </w:p>
    <w:p w14:paraId="5C242294">
      <w:pPr>
        <w:pStyle w:val="44"/>
      </w:pPr>
      <w:r>
        <w:t>В карточке Повторного МЭК в информационной строке отображается следующая информация:</w:t>
      </w:r>
    </w:p>
    <w:p w14:paraId="714F7588">
      <w:pPr>
        <w:pStyle w:val="51"/>
      </w:pPr>
      <w:r>
        <w:t>наименование формы — «Повторный МЭК»;</w:t>
      </w:r>
    </w:p>
    <w:p w14:paraId="105CE695">
      <w:pPr>
        <w:pStyle w:val="51"/>
      </w:pPr>
      <w:r>
        <w:t>номер повторного МЭК;</w:t>
      </w:r>
    </w:p>
    <w:p w14:paraId="5706A57D">
      <w:pPr>
        <w:pStyle w:val="51"/>
      </w:pPr>
      <w:r>
        <w:t>дата создания повторного МЭК;</w:t>
      </w:r>
    </w:p>
    <w:p w14:paraId="35079190">
      <w:pPr>
        <w:pStyle w:val="51"/>
      </w:pPr>
      <w:r>
        <w:t>текущее состояние экспертизы (статус).</w:t>
      </w:r>
    </w:p>
    <w:p w14:paraId="5C2D5267">
      <w:pPr>
        <w:pStyle w:val="44"/>
      </w:pPr>
      <w:r>
        <w:t>В блоке «Общая информация» отображаются основные сведения:</w:t>
      </w:r>
    </w:p>
    <w:p w14:paraId="64F97C7A">
      <w:pPr>
        <w:pStyle w:val="51"/>
      </w:pPr>
      <w:r>
        <w:t>«Вид повторного МЭК» — код вида контроля и наименование вида контроля по справочнику F006;</w:t>
      </w:r>
    </w:p>
    <w:p w14:paraId="6CC1E760">
      <w:pPr>
        <w:pStyle w:val="51"/>
      </w:pPr>
      <w:r>
        <w:t>«Отчетный период» — месяц и год отчетного периода в формате ММ.ГГГГ;</w:t>
      </w:r>
    </w:p>
    <w:p w14:paraId="02CDE299">
      <w:pPr>
        <w:pStyle w:val="51"/>
      </w:pPr>
      <w:r>
        <w:t>«ТПГГ и ПГГ» — код МО в системе ОМС и краткое наименование МО;</w:t>
      </w:r>
    </w:p>
    <w:p w14:paraId="2F7AB045">
      <w:pPr>
        <w:pStyle w:val="51"/>
      </w:pPr>
      <w:r>
        <w:t>«Плательщик» — код Плательщика по справочнику F020 и краткое наименование;</w:t>
      </w:r>
    </w:p>
    <w:p w14:paraId="2D50528E">
      <w:pPr>
        <w:pStyle w:val="51"/>
      </w:pPr>
      <w:r>
        <w:t xml:space="preserve">«Тип счета» — смотри </w:t>
      </w:r>
      <w:r>
        <w:fldChar w:fldCharType="begin"/>
      </w:r>
      <w:r>
        <w:instrText xml:space="preserve"> REF _Ref225439903 \n \h </w:instrText>
      </w:r>
      <w:r>
        <w:fldChar w:fldCharType="separate"/>
      </w:r>
      <w:r>
        <w:t>Приложение Б</w:t>
      </w:r>
      <w:r>
        <w:fldChar w:fldCharType="end"/>
      </w:r>
      <w:r>
        <w:t>.</w:t>
      </w:r>
    </w:p>
    <w:p w14:paraId="260862BA">
      <w:pPr>
        <w:pStyle w:val="44"/>
      </w:pPr>
      <w:r>
        <w:t>Общая информация о счете, к которому применен повторный МЭК, отображается в табличном виде и содержит номер счета, актуальную версию счета и дату отправки финального ответа плательщика.</w:t>
      </w:r>
    </w:p>
    <w:p w14:paraId="5FF82E4E">
      <w:pPr>
        <w:pStyle w:val="44"/>
      </w:pPr>
      <w:r>
        <w:t>Блок «Дельта» содержит список всех СЭФД, по которым:</w:t>
      </w:r>
    </w:p>
    <w:p w14:paraId="066AC9D9">
      <w:pPr>
        <w:pStyle w:val="50"/>
        <w:numPr>
          <w:ilvl w:val="0"/>
          <w:numId w:val="18"/>
        </w:numPr>
      </w:pPr>
      <w:bookmarkStart w:id="592" w:name="_Hlk202191230"/>
      <w:bookmarkStart w:id="593" w:name="_Hlk202193675"/>
      <w:r>
        <w:t>найдены дефекты, но при предыдущей проверке МЭК (первичной или повторной) документы задефектованы не были и были приняты к оплате;</w:t>
      </w:r>
    </w:p>
    <w:p w14:paraId="49CE39C9">
      <w:pPr>
        <w:pStyle w:val="50"/>
      </w:pPr>
      <w:r>
        <w:t>отсутствуют дефекты, но при предыдущей проверке МЭК (первичной или повторной) документы были задефектованы и сняты с оплаты;</w:t>
      </w:r>
    </w:p>
    <w:p w14:paraId="078BB774">
      <w:pPr>
        <w:pStyle w:val="50"/>
      </w:pPr>
      <w:r>
        <w:t>изменился состав дефектов.</w:t>
      </w:r>
    </w:p>
    <w:bookmarkEnd w:id="592"/>
    <w:bookmarkEnd w:id="593"/>
    <w:p w14:paraId="161D0E40">
      <w:pPr>
        <w:pStyle w:val="44"/>
      </w:pPr>
      <w:r>
        <w:t>В верхней строке «Всего» отображается итоговая сумма снятий.</w:t>
      </w:r>
    </w:p>
    <w:p w14:paraId="004DB3C7">
      <w:pPr>
        <w:pStyle w:val="44"/>
      </w:pPr>
      <w:r>
        <w:t>Общее количество вошедших в дельту законченных случаев отображается в нижней части блока в поле «Количество».</w:t>
      </w:r>
    </w:p>
    <w:p w14:paraId="5C44247D">
      <w:pPr>
        <w:pStyle w:val="44"/>
      </w:pPr>
      <w:r>
        <w:t>Табличная часть содержит сведения о вошедших в дельту законченных случаях:</w:t>
      </w:r>
    </w:p>
    <w:p w14:paraId="74D9A9E3">
      <w:pPr>
        <w:pStyle w:val="51"/>
      </w:pPr>
      <w:r>
        <w:t>поле выбора элемента списка;</w:t>
      </w:r>
    </w:p>
    <w:p w14:paraId="3289627D">
      <w:pPr>
        <w:pStyle w:val="51"/>
      </w:pPr>
      <w:r>
        <w:t>порядковый номер законченного случая;</w:t>
      </w:r>
    </w:p>
    <w:p w14:paraId="5D576026">
      <w:pPr>
        <w:pStyle w:val="51"/>
      </w:pPr>
      <w:r>
        <w:t>«СЭФД» — идентификатор СЭФД. Активная ссылка для перехода в карточку СЭФД;</w:t>
      </w:r>
    </w:p>
    <w:p w14:paraId="21203B06">
      <w:pPr>
        <w:pStyle w:val="51"/>
      </w:pPr>
      <w:r>
        <w:t>«№ ИБ/МК» — номер истории болезни (для СЭФД СТЦ) или медицинской карты (для СЭФД АМБ), или ИД СЭМД (для СЭФД СМП);</w:t>
      </w:r>
    </w:p>
    <w:p w14:paraId="4950482F">
      <w:pPr>
        <w:pStyle w:val="51"/>
      </w:pPr>
      <w:r>
        <w:t xml:space="preserve">«ФИО пациента» — </w:t>
      </w:r>
      <w:bookmarkStart w:id="594" w:name="_Hlk202193177"/>
      <w:r>
        <w:t>фамилия и инициалы пациента</w:t>
      </w:r>
      <w:bookmarkEnd w:id="594"/>
      <w:r>
        <w:t>;</w:t>
      </w:r>
    </w:p>
    <w:p w14:paraId="27EDFF21">
      <w:pPr>
        <w:pStyle w:val="51"/>
      </w:pPr>
      <w:r>
        <w:t xml:space="preserve">«Год рождения» — </w:t>
      </w:r>
      <w:bookmarkStart w:id="595" w:name="_Hlk202193188"/>
      <w:r>
        <w:t>год рождения пациента в формате ГГГГ</w:t>
      </w:r>
      <w:bookmarkEnd w:id="595"/>
      <w:r>
        <w:t>;</w:t>
      </w:r>
    </w:p>
    <w:p w14:paraId="70615679">
      <w:pPr>
        <w:pStyle w:val="51"/>
      </w:pPr>
      <w:r>
        <w:t xml:space="preserve">«Диагноз» — </w:t>
      </w:r>
      <w:bookmarkStart w:id="596" w:name="_Hlk202193226"/>
      <w:r>
        <w:t xml:space="preserve">код основного заключительного диагноза </w:t>
      </w:r>
      <w:bookmarkEnd w:id="596"/>
      <w:r>
        <w:t xml:space="preserve">по справочнику МКБ-10. </w:t>
      </w:r>
      <w:bookmarkStart w:id="597" w:name="_Hlk202193243"/>
      <w:r>
        <w:t>При наведении указателя на код отображается наименование;</w:t>
      </w:r>
      <w:bookmarkEnd w:id="597"/>
    </w:p>
    <w:p w14:paraId="3F8713B6">
      <w:pPr>
        <w:pStyle w:val="51"/>
      </w:pPr>
      <w:r>
        <w:t xml:space="preserve">«Сумма» — </w:t>
      </w:r>
      <w:bookmarkStart w:id="598" w:name="_Hlk202193257"/>
      <w:r>
        <w:t>выставленная сумма к оплате, в руб.;</w:t>
      </w:r>
      <w:bookmarkEnd w:id="598"/>
    </w:p>
    <w:p w14:paraId="3C0C14BE">
      <w:pPr>
        <w:pStyle w:val="51"/>
      </w:pPr>
      <w:r>
        <w:t xml:space="preserve">«Ошибка» — </w:t>
      </w:r>
      <w:bookmarkStart w:id="599" w:name="_Hlk202193276"/>
      <w:r>
        <w:t xml:space="preserve">код ошибки по справочнику </w:t>
      </w:r>
      <w:r>
        <w:rPr>
          <w:lang w:val="en-US"/>
        </w:rPr>
        <w:t>F</w:t>
      </w:r>
      <w:r>
        <w:t>014 (НСИ ФОМС). При наведении указателя на код отображается наименование</w:t>
      </w:r>
      <w:bookmarkEnd w:id="599"/>
      <w:r>
        <w:t>;</w:t>
      </w:r>
    </w:p>
    <w:p w14:paraId="36849EE1">
      <w:pPr>
        <w:pStyle w:val="51"/>
      </w:pPr>
      <w:r>
        <w:t xml:space="preserve">«Основание» — </w:t>
      </w:r>
      <w:bookmarkStart w:id="600" w:name="_Hlk202193287"/>
      <w:r>
        <w:t xml:space="preserve">код основания по справочнику </w:t>
      </w:r>
      <w:r>
        <w:rPr>
          <w:lang w:val="en-US"/>
        </w:rPr>
        <w:t>F</w:t>
      </w:r>
      <w:r>
        <w:t>014 (НСИ ФОМС). При наведении указателя на код отображается наименование</w:t>
      </w:r>
      <w:bookmarkEnd w:id="600"/>
      <w:r>
        <w:t>;</w:t>
      </w:r>
    </w:p>
    <w:p w14:paraId="7EA16BB1">
      <w:pPr>
        <w:pStyle w:val="51"/>
      </w:pPr>
      <w:r>
        <w:t xml:space="preserve">«Снятие» — </w:t>
      </w:r>
      <w:bookmarkStart w:id="601" w:name="_Hlk202193298"/>
      <w:r>
        <w:t>объем неоплаты, в руб.</w:t>
      </w:r>
      <w:bookmarkEnd w:id="601"/>
    </w:p>
    <w:p w14:paraId="2DE3905A">
      <w:pPr>
        <w:pStyle w:val="44"/>
      </w:pPr>
      <w:r>
        <w:t xml:space="preserve">Перечень законченных случаев в составе дельты доступен для выгрузки в формате </w:t>
      </w:r>
      <w:r>
        <w:rPr>
          <w:lang w:val="en-US"/>
        </w:rPr>
        <w:t>EXCEL</w:t>
      </w:r>
      <w:r>
        <w:t xml:space="preserve"> при нажатии кнопки </w:t>
      </w:r>
      <w:r>
        <w:drawing>
          <wp:inline distT="0" distB="0" distL="0" distR="0">
            <wp:extent cx="683895" cy="216535"/>
            <wp:effectExtent l="19050" t="19050" r="20955" b="12065"/>
            <wp:docPr id="16298966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896651" name="Рисунок 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166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«Выгрузить»:</w:t>
      </w:r>
    </w:p>
    <w:p w14:paraId="492B1281">
      <w:pPr>
        <w:pStyle w:val="51"/>
      </w:pPr>
      <w:r>
        <w:t>при наличии выделенных ЗС (установлен флаг) — произойдет выгрузка только выделенных ЗС;</w:t>
      </w:r>
    </w:p>
    <w:p w14:paraId="22196054">
      <w:pPr>
        <w:pStyle w:val="51"/>
      </w:pPr>
      <w:r>
        <w:t>при отсутствии выделенных ЗС — произойдет выгрузка всех ЗС.</w:t>
      </w:r>
    </w:p>
    <w:p w14:paraId="06905E75">
      <w:pPr>
        <w:pStyle w:val="44"/>
      </w:pPr>
      <w:r>
        <w:t xml:space="preserve">Для выхода из открытого повторного МЭК и возврата в список нажать кнопку </w:t>
      </w:r>
      <w:r>
        <w:drawing>
          <wp:inline distT="0" distB="0" distL="0" distR="0">
            <wp:extent cx="179705" cy="179705"/>
            <wp:effectExtent l="19050" t="19050" r="10795" b="10795"/>
            <wp:docPr id="11449783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78389" name="Рисунок 1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 информационной строке слева.</w:t>
      </w:r>
    </w:p>
    <w:bookmarkEnd w:id="580"/>
    <w:p w14:paraId="0DBC5C68">
      <w:pPr>
        <w:pStyle w:val="38"/>
      </w:pPr>
      <w:bookmarkStart w:id="602" w:name="_Toc225871526"/>
      <w:bookmarkStart w:id="603" w:name="_Toc149209677"/>
      <w:bookmarkStart w:id="604" w:name="_Ref147139692"/>
      <w:r>
        <w:t>Просмотр сведений об информационном взаимодействии между МО и Плательщиком</w:t>
      </w:r>
      <w:bookmarkEnd w:id="602"/>
      <w:bookmarkEnd w:id="603"/>
      <w:bookmarkEnd w:id="604"/>
    </w:p>
    <w:p w14:paraId="0E31B81C">
      <w:pPr>
        <w:pStyle w:val="39"/>
      </w:pPr>
      <w:bookmarkStart w:id="605" w:name="_Toc149209678"/>
      <w:bookmarkStart w:id="606" w:name="_Ref143802123"/>
      <w:bookmarkStart w:id="607" w:name="_Toc225871527"/>
      <w:r>
        <w:t xml:space="preserve">Поиск и просмотр </w:t>
      </w:r>
      <w:bookmarkEnd w:id="605"/>
      <w:bookmarkEnd w:id="606"/>
      <w:r>
        <w:t>сведений</w:t>
      </w:r>
      <w:bookmarkEnd w:id="607"/>
    </w:p>
    <w:p w14:paraId="2470B1BC">
      <w:pPr>
        <w:pStyle w:val="44"/>
      </w:pPr>
      <w:bookmarkStart w:id="608" w:name="_Hlk154677096"/>
      <w:r>
        <w:t xml:space="preserve">Сведения об информационном взаимодействии между МО и Плательщиком </w:t>
      </w:r>
      <w:bookmarkEnd w:id="608"/>
      <w:r>
        <w:t>отражаются в разделе «Информационный обмен».</w:t>
      </w:r>
    </w:p>
    <w:p w14:paraId="125F4F8B">
      <w:pPr>
        <w:pStyle w:val="44"/>
      </w:pPr>
      <w:r>
        <w:t xml:space="preserve">Для перехода в раздел в ленте главного меню раскрыть меню «Все разделы» и выбрать вкладку «Информационный обмен» (рис. </w:t>
      </w:r>
      <w:r>
        <w:fldChar w:fldCharType="begin"/>
      </w:r>
      <w:r>
        <w:instrText xml:space="preserve"> REF  _Ref154763832 \h\#\0   \* MERGEFORMAT </w:instrText>
      </w:r>
      <w:r>
        <w:fldChar w:fldCharType="separate"/>
      </w:r>
      <w:r>
        <w:t>145</w:t>
      </w:r>
      <w:r>
        <w:fldChar w:fldCharType="end"/>
      </w:r>
      <w:r>
        <w:t>).</w:t>
      </w:r>
    </w:p>
    <w:p w14:paraId="48C23182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5399405" cy="2798445"/>
            <wp:effectExtent l="19050" t="19050" r="10795" b="20955"/>
            <wp:docPr id="8607937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793799" name="Рисунок 1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989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F6CF9B">
      <w:pPr>
        <w:pStyle w:val="49"/>
      </w:pPr>
      <w:bookmarkStart w:id="609" w:name="_Ref1547638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145</w:t>
      </w:r>
      <w:r>
        <w:fldChar w:fldCharType="end"/>
      </w:r>
      <w:bookmarkEnd w:id="609"/>
      <w:r>
        <w:t xml:space="preserve"> — Всплывающее меню «Все разделы». Выбор вкладки «Информационный обмен»</w:t>
      </w:r>
    </w:p>
    <w:p w14:paraId="368729A0">
      <w:pPr>
        <w:pStyle w:val="44"/>
      </w:pPr>
      <w:r>
        <w:t xml:space="preserve">Произойдет переход в раздел «Информационный обмен» (рис. </w:t>
      </w:r>
      <w:r>
        <w:fldChar w:fldCharType="begin"/>
      </w:r>
      <w:r>
        <w:instrText xml:space="preserve"> REF  _Ref154677393 \h\#\0   \* MERGEFORMAT </w:instrText>
      </w:r>
      <w:r>
        <w:fldChar w:fldCharType="separate"/>
      </w:r>
      <w:r>
        <w:t>146</w:t>
      </w:r>
      <w:r>
        <w:fldChar w:fldCharType="end"/>
      </w:r>
      <w:r>
        <w:t>).</w:t>
      </w:r>
    </w:p>
    <w:p w14:paraId="7F75E11C">
      <w:pPr>
        <w:pStyle w:val="48"/>
      </w:pPr>
      <w:r>
        <w:drawing>
          <wp:inline distT="0" distB="0" distL="0" distR="0">
            <wp:extent cx="6119495" cy="2899410"/>
            <wp:effectExtent l="19050" t="19050" r="14605" b="15240"/>
            <wp:docPr id="7407280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728066" name="Рисунок 1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94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8D7ECA">
      <w:pPr>
        <w:pStyle w:val="49"/>
      </w:pPr>
      <w:bookmarkStart w:id="610" w:name="_Ref15467739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146</w:t>
      </w:r>
      <w:r>
        <w:fldChar w:fldCharType="end"/>
      </w:r>
      <w:bookmarkEnd w:id="610"/>
      <w:bookmarkStart w:id="611" w:name="_Hlk154501377"/>
      <w:r>
        <w:t xml:space="preserve"> — Счета/ответы, сформированные в ходе информационного взаимодействия</w:t>
      </w:r>
    </w:p>
    <w:p w14:paraId="669D1735">
      <w:pPr>
        <w:pStyle w:val="44"/>
      </w:pPr>
      <w:bookmarkStart w:id="612" w:name="_Hlk154482434"/>
      <w:r>
        <w:t>После получения ответа Плательщика формируется файл «Акт расчетов».</w:t>
      </w:r>
    </w:p>
    <w:p w14:paraId="33902C17">
      <w:pPr>
        <w:pStyle w:val="44"/>
      </w:pPr>
      <w:r>
        <w:t>Чтобы ознакомиться с ответом Плательщика необходимо перейти на вкладку «Информационный обмен». Вкладка содержит архив сформированных документов ответа Плательщика.</w:t>
      </w:r>
    </w:p>
    <w:p w14:paraId="3CF82E0C">
      <w:pPr>
        <w:pStyle w:val="44"/>
      </w:pPr>
      <w:r>
        <w:t>Для просмотра сведений об авансах и снятиях необходимо раскрыть Акт расчетов:</w:t>
      </w:r>
    </w:p>
    <w:p w14:paraId="180B44F9">
      <w:pPr>
        <w:pStyle w:val="51"/>
      </w:pPr>
      <w:r>
        <w:t>сведения об авансах содержатся в п. 16 «Полная сумма авансирования медицинской организации»;</w:t>
      </w:r>
    </w:p>
    <w:p w14:paraId="0361CA4B">
      <w:pPr>
        <w:pStyle w:val="51"/>
      </w:pPr>
      <w:r>
        <w:t>суммы санкций и штрафов содержатся в п. 17 «Сумма удержаний по итогам ранее проведённых контрольно-экспертных мероприятий».</w:t>
      </w:r>
    </w:p>
    <w:bookmarkEnd w:id="612"/>
    <w:p w14:paraId="5D37832C">
      <w:pPr>
        <w:pStyle w:val="44"/>
      </w:pPr>
      <w:r>
        <w:t>В панели фильтрации поиск в блоке «Обмен» возможен как по одному, так и по нескольким параметрам одновременно:</w:t>
      </w:r>
    </w:p>
    <w:p w14:paraId="35B00634">
      <w:pPr>
        <w:pStyle w:val="51"/>
      </w:pPr>
      <w:r>
        <w:t>«Тип посылки» — возможные значения: «Отправлено МО», «Отправлено плательщиком»;</w:t>
      </w:r>
    </w:p>
    <w:p w14:paraId="3CEABCDA">
      <w:pPr>
        <w:pStyle w:val="51"/>
      </w:pPr>
      <w:r>
        <w:t>«Период с» — дата начала отправки по счетам/ответам;</w:t>
      </w:r>
    </w:p>
    <w:p w14:paraId="145BC75F">
      <w:pPr>
        <w:pStyle w:val="51"/>
      </w:pPr>
      <w:r>
        <w:t>«Период по» — дата окончания отправки данных по счетам/ответам;</w:t>
      </w:r>
    </w:p>
    <w:p w14:paraId="1FFC48A0">
      <w:pPr>
        <w:pStyle w:val="51"/>
      </w:pPr>
      <w:r>
        <w:t>«Отчетный период» — отчетный период счетов/ответов;</w:t>
      </w:r>
    </w:p>
    <w:p w14:paraId="2C7AF60C">
      <w:pPr>
        <w:pStyle w:val="51"/>
      </w:pPr>
      <w:r>
        <w:t>«Субъект РФ».</w:t>
      </w:r>
    </w:p>
    <w:p w14:paraId="043DEE9F">
      <w:pPr>
        <w:pStyle w:val="44"/>
      </w:pPr>
      <w:r>
        <w:t>Указать параметры поиска и нажать кнопку «Найти».</w:t>
      </w:r>
    </w:p>
    <w:p w14:paraId="56F80F72">
      <w:pPr>
        <w:pStyle w:val="44"/>
      </w:pPr>
      <w:r>
        <w:t>В рабочей области отобразятся результаты, соответствующие критериям поиска.</w:t>
      </w:r>
    </w:p>
    <w:p w14:paraId="05755F69">
      <w:pPr>
        <w:pStyle w:val="44"/>
      </w:pPr>
      <w:r>
        <w:t>Табличная часть содержит следующие поля:</w:t>
      </w:r>
    </w:p>
    <w:p w14:paraId="02D9EE34">
      <w:pPr>
        <w:pStyle w:val="51"/>
      </w:pPr>
      <w:r>
        <w:t>поле выбора элемента списка;</w:t>
      </w:r>
    </w:p>
    <w:p w14:paraId="7D93F70F">
      <w:pPr>
        <w:pStyle w:val="51"/>
      </w:pPr>
      <w:r>
        <w:t>«ИД» — идентификатор ответа Плательщика;</w:t>
      </w:r>
    </w:p>
    <w:p w14:paraId="307A072B">
      <w:pPr>
        <w:pStyle w:val="51"/>
      </w:pPr>
      <w:r>
        <w:t>«ID исходного сообщения» — идентификатор исходного сообщения МО (поле заполняется только при ответе Плательщика);</w:t>
      </w:r>
    </w:p>
    <w:p w14:paraId="5471CBD2">
      <w:pPr>
        <w:pStyle w:val="51"/>
      </w:pPr>
      <w:r>
        <w:t>«Тип» — тип информационного сообщения:</w:t>
      </w:r>
    </w:p>
    <w:p w14:paraId="2CA510E8">
      <w:pPr>
        <w:pStyle w:val="77"/>
      </w:pPr>
      <w:r>
        <w:t>«Отправлен в ФОМС» (для МО, работающих по прямому договору с ФОМС),</w:t>
      </w:r>
    </w:p>
    <w:p w14:paraId="5386510C">
      <w:pPr>
        <w:pStyle w:val="77"/>
      </w:pPr>
      <w:r>
        <w:t>«Отправлен в ТФОМС» (для счетов МО по ИН, НИЛ, межтерриториальным расчетам и счетам сверхбазовой программы),</w:t>
      </w:r>
    </w:p>
    <w:p w14:paraId="62E01F1C">
      <w:pPr>
        <w:pStyle w:val="77"/>
      </w:pPr>
      <w:r>
        <w:t>«Отправлено в СМО» (по счетам МО в СМО),</w:t>
      </w:r>
    </w:p>
    <w:p w14:paraId="4B1668A3">
      <w:pPr>
        <w:pStyle w:val="77"/>
      </w:pPr>
      <w:r>
        <w:t>«Отправлено из ТФОМС в МО» (для ответов на счета МО),</w:t>
      </w:r>
    </w:p>
    <w:p w14:paraId="35B90B88">
      <w:pPr>
        <w:pStyle w:val="77"/>
      </w:pPr>
      <w:r>
        <w:t>«Отправлено из СМО в МО» (для ответов на счета МО),</w:t>
      </w:r>
    </w:p>
    <w:p w14:paraId="16FC43D7">
      <w:pPr>
        <w:pStyle w:val="77"/>
      </w:pPr>
      <w:r>
        <w:t>«Отправлено из ФОМС в МО» (ответы по счетам МО, работающих по прямому договору с ФОМС);</w:t>
      </w:r>
    </w:p>
    <w:p w14:paraId="66C34401">
      <w:pPr>
        <w:pStyle w:val="51"/>
      </w:pPr>
      <w:r>
        <w:t>«Исходный ИД»</w:t>
      </w:r>
      <w:r>
        <w:rPr>
          <w:lang w:val="en-US"/>
        </w:rPr>
        <w:t>;</w:t>
      </w:r>
    </w:p>
    <w:p w14:paraId="7F7AE45C">
      <w:pPr>
        <w:pStyle w:val="51"/>
      </w:pPr>
      <w:r>
        <w:t xml:space="preserve">«Тип счета» — смотри </w:t>
      </w:r>
      <w:r>
        <w:fldChar w:fldCharType="begin"/>
      </w:r>
      <w:r>
        <w:instrText xml:space="preserve"> REF _Ref225439903 \n \h </w:instrText>
      </w:r>
      <w:r>
        <w:fldChar w:fldCharType="separate"/>
      </w:r>
      <w:r>
        <w:t>Приложение Б</w:t>
      </w:r>
      <w:r>
        <w:fldChar w:fldCharType="end"/>
      </w:r>
      <w:r>
        <w:t>;</w:t>
      </w:r>
    </w:p>
    <w:p w14:paraId="2897996E">
      <w:pPr>
        <w:pStyle w:val="51"/>
      </w:pPr>
      <w:r>
        <w:t>«№ счета» — номер счета МО;</w:t>
      </w:r>
    </w:p>
    <w:p w14:paraId="5AE5DC1D">
      <w:pPr>
        <w:pStyle w:val="51"/>
      </w:pPr>
      <w:r>
        <w:t>«Версия» — версия счета МО или ответа Плательщика;</w:t>
      </w:r>
    </w:p>
    <w:p w14:paraId="3F3A257E">
      <w:pPr>
        <w:pStyle w:val="51"/>
      </w:pPr>
      <w:r>
        <w:t>«Вложения» — zip-архив информационного сообщения;</w:t>
      </w:r>
    </w:p>
    <w:p w14:paraId="34BD2E43">
      <w:pPr>
        <w:pStyle w:val="51"/>
      </w:pPr>
      <w:r>
        <w:t>«Отправитель» — наименование отправителя (МО, Плательщика);</w:t>
      </w:r>
    </w:p>
    <w:p w14:paraId="58A491DC">
      <w:pPr>
        <w:pStyle w:val="51"/>
      </w:pPr>
      <w:r>
        <w:t>«Получатель» — наименование получателя;</w:t>
      </w:r>
    </w:p>
    <w:p w14:paraId="3C7C96BD">
      <w:pPr>
        <w:pStyle w:val="51"/>
      </w:pPr>
      <w:r>
        <w:t>«Отправлено» — дата отправки сообщения в формате дд.мм.гггг чч:мм (где: чч — часы, мм — минуты);</w:t>
      </w:r>
    </w:p>
    <w:p w14:paraId="12AFA721">
      <w:pPr>
        <w:pStyle w:val="51"/>
      </w:pPr>
      <w:r>
        <w:t>«Статус» — статус счета МО или статус ответа Плательщика:</w:t>
      </w:r>
    </w:p>
    <w:p w14:paraId="77AB67FD">
      <w:pPr>
        <w:pStyle w:val="77"/>
      </w:pPr>
      <w:r>
        <w:t>«ОК» — в случае успешной доставки сообщения,</w:t>
      </w:r>
    </w:p>
    <w:p w14:paraId="05C14E4C">
      <w:pPr>
        <w:pStyle w:val="77"/>
      </w:pPr>
      <w:r>
        <w:t>«Ошибка» — в случае неуспешной доставки сообщения;</w:t>
      </w:r>
    </w:p>
    <w:p w14:paraId="63E576F9">
      <w:pPr>
        <w:pStyle w:val="51"/>
      </w:pPr>
      <w:r>
        <w:t>«Информация» — служебное поле с описанием причины ошибки. Заполняется в случае статуса «Ошибка»;</w:t>
      </w:r>
    </w:p>
    <w:p w14:paraId="75122597">
      <w:pPr>
        <w:pStyle w:val="51"/>
      </w:pPr>
      <w:r>
        <w:t>«№ ответа» — идентификатор ответа. Заполняется только для ответов Плательщика;</w:t>
      </w:r>
    </w:p>
    <w:p w14:paraId="54390AB7">
      <w:pPr>
        <w:pStyle w:val="51"/>
      </w:pPr>
      <w:r>
        <w:t>«Тип ответа» — ответ Плательщика: «Финальный» или «Предварительный»;</w:t>
      </w:r>
    </w:p>
    <w:p w14:paraId="2B5CE7DF">
      <w:pPr>
        <w:pStyle w:val="51"/>
      </w:pPr>
      <w:r>
        <w:t>«Территориальная программа» — код и наименование субъекта;</w:t>
      </w:r>
    </w:p>
    <w:p w14:paraId="522F5DD2">
      <w:pPr>
        <w:pStyle w:val="51"/>
      </w:pPr>
      <w:r>
        <w:drawing>
          <wp:inline distT="0" distB="0" distL="0" distR="0">
            <wp:extent cx="179705" cy="191770"/>
            <wp:effectExtent l="19050" t="19050" r="10795" b="17780"/>
            <wp:docPr id="900881353" name="Рисунок 90088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881353" name="Рисунок 90088135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— управляющий элемент настройки отображения столбцов.</w:t>
      </w:r>
    </w:p>
    <w:p w14:paraId="6273F54C">
      <w:pPr>
        <w:pStyle w:val="39"/>
      </w:pPr>
      <w:bookmarkStart w:id="613" w:name="_Toc225871528"/>
      <w:bookmarkStart w:id="614" w:name="_Ref142497263"/>
      <w:bookmarkStart w:id="615" w:name="_Toc143106002"/>
      <w:bookmarkStart w:id="616" w:name="_Toc149209679"/>
      <w:r>
        <w:t>Выгрузка отчетов информационного взаимодействия</w:t>
      </w:r>
      <w:bookmarkEnd w:id="613"/>
      <w:bookmarkEnd w:id="614"/>
      <w:bookmarkEnd w:id="615"/>
      <w:bookmarkEnd w:id="616"/>
    </w:p>
    <w:p w14:paraId="0CD69E74">
      <w:pPr>
        <w:pStyle w:val="44"/>
      </w:pPr>
      <w:bookmarkStart w:id="617" w:name="_Toc143106003"/>
      <w:r>
        <w:t xml:space="preserve">Для выгрузки архива отчета нажмите на соответствующую ссылку </w:t>
      </w:r>
      <w:r>
        <w:drawing>
          <wp:inline distT="0" distB="0" distL="0" distR="0">
            <wp:extent cx="152400" cy="152400"/>
            <wp:effectExtent l="19050" t="19050" r="19050" b="190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544" cy="15454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 столбце «Вложения».</w:t>
      </w:r>
      <w:bookmarkEnd w:id="617"/>
      <w:bookmarkStart w:id="618" w:name="_Hlk154585274"/>
      <w:r>
        <w:t xml:space="preserve"> </w:t>
      </w:r>
    </w:p>
    <w:p w14:paraId="680DBFBB">
      <w:pPr>
        <w:pStyle w:val="48"/>
      </w:pPr>
      <w:r>
        <w:rPr>
          <w:lang w:val="en-US"/>
        </w:rPr>
        <w:drawing>
          <wp:inline distT="0" distB="0" distL="0" distR="0">
            <wp:extent cx="6119495" cy="1772920"/>
            <wp:effectExtent l="19050" t="19050" r="14605" b="17780"/>
            <wp:docPr id="7020402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40248" name="Рисунок 1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729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6AE3EAE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147</w:t>
      </w:r>
      <w:r>
        <w:fldChar w:fldCharType="end"/>
      </w:r>
      <w:r>
        <w:t xml:space="preserve"> — Скачивание информационной посылки</w:t>
      </w:r>
    </w:p>
    <w:p w14:paraId="69F77091">
      <w:pPr>
        <w:pStyle w:val="44"/>
      </w:pPr>
      <w:r>
        <w:t>Архив с ответом автоматически скачивается локально в папку «Загрузки»:</w:t>
      </w:r>
    </w:p>
    <w:p w14:paraId="54A66C4D">
      <w:pPr>
        <w:pStyle w:val="51"/>
      </w:pPr>
      <w:r>
        <w:rPr>
          <w:lang w:val="en-US"/>
        </w:rPr>
        <w:t>ZIP</w:t>
      </w:r>
      <w:r>
        <w:t>-архив предварительного ответа плательщика — наименование архива начинается на «15»;</w:t>
      </w:r>
    </w:p>
    <w:p w14:paraId="0F95A8F5">
      <w:pPr>
        <w:pStyle w:val="51"/>
      </w:pPr>
      <w:r>
        <w:rPr>
          <w:lang w:val="en-US"/>
        </w:rPr>
        <w:t>ZIP</w:t>
      </w:r>
      <w:r>
        <w:t>-архив финального ответа плательщика — наименование архива начинается на «16».</w:t>
      </w:r>
    </w:p>
    <w:p w14:paraId="7B7F7074">
      <w:pPr>
        <w:pStyle w:val="51"/>
      </w:pPr>
      <w:r>
        <w:t>ZIP-архив с документами результатов МЭК — наименование архива начинается на «23».</w:t>
      </w:r>
    </w:p>
    <w:p w14:paraId="630A0DD8">
      <w:pPr>
        <w:pStyle w:val="44"/>
      </w:pPr>
      <w:r>
        <w:t xml:space="preserve">Для просмотра данных информационной посылки необходимо распаковать сохраненный </w:t>
      </w:r>
      <w:r>
        <w:rPr>
          <w:lang w:val="en-US"/>
        </w:rPr>
        <w:t>zip</w:t>
      </w:r>
      <w:r>
        <w:t>-архив. Описание сведений в составе ответов приведено в п.</w:t>
      </w:r>
      <w:r>
        <w:fldChar w:fldCharType="begin"/>
      </w:r>
      <w:r>
        <w:instrText xml:space="preserve"> REF _Ref225785625 \n \h </w:instrText>
      </w:r>
      <w:r>
        <w:fldChar w:fldCharType="separate"/>
      </w:r>
      <w:r>
        <w:t>4.4.2.1</w:t>
      </w:r>
      <w:r>
        <w:fldChar w:fldCharType="end"/>
      </w:r>
      <w:r>
        <w:t>-</w:t>
      </w:r>
      <w:r>
        <w:fldChar w:fldCharType="begin"/>
      </w:r>
      <w:r>
        <w:instrText xml:space="preserve"> REF _Ref225785642 \n \h </w:instrText>
      </w:r>
      <w:r>
        <w:fldChar w:fldCharType="separate"/>
      </w:r>
      <w:r>
        <w:t>4.4.2.3</w:t>
      </w:r>
      <w:r>
        <w:fldChar w:fldCharType="end"/>
      </w:r>
      <w:r>
        <w:t>.</w:t>
      </w:r>
    </w:p>
    <w:p w14:paraId="13C2137A">
      <w:pPr>
        <w:pStyle w:val="44"/>
      </w:pPr>
      <w:r>
        <w:t xml:space="preserve">Документы в архиве представлены как в формате </w:t>
      </w:r>
      <w:r>
        <w:rPr>
          <w:lang w:val="en-US"/>
        </w:rPr>
        <w:t>PDF</w:t>
      </w:r>
      <w:r>
        <w:t xml:space="preserve">, так и в виде файлов формата </w:t>
      </w:r>
      <w:r>
        <w:rPr>
          <w:lang w:val="en-US"/>
        </w:rPr>
        <w:t>XML</w:t>
      </w:r>
      <w:r>
        <w:t xml:space="preserve"> (имя_файла.</w:t>
      </w:r>
      <w:r>
        <w:rPr>
          <w:lang w:val="en-US"/>
        </w:rPr>
        <w:t>xml</w:t>
      </w:r>
      <w:r>
        <w:t xml:space="preserve">) или </w:t>
      </w:r>
      <w:r>
        <w:rPr>
          <w:lang w:val="en-US"/>
        </w:rPr>
        <w:t>CSV</w:t>
      </w:r>
      <w:r>
        <w:t xml:space="preserve"> (имя_файла.</w:t>
      </w:r>
      <w:r>
        <w:rPr>
          <w:lang w:val="en-US"/>
        </w:rPr>
        <w:t>csv</w:t>
      </w:r>
      <w:r>
        <w:t xml:space="preserve">). Описание работы с файлами формата </w:t>
      </w:r>
      <w:r>
        <w:rPr>
          <w:lang w:val="en-US"/>
        </w:rPr>
        <w:t>XML</w:t>
      </w:r>
      <w:r>
        <w:t xml:space="preserve"> и </w:t>
      </w:r>
      <w:r>
        <w:rPr>
          <w:lang w:val="en-US"/>
        </w:rPr>
        <w:t>CSV</w:t>
      </w:r>
      <w:r>
        <w:t xml:space="preserve"> приведено в Приложении </w:t>
      </w:r>
      <w:r>
        <w:fldChar w:fldCharType="begin"/>
      </w:r>
      <w:r>
        <w:instrText xml:space="preserve"> REF  _Ref184982730 \h \n \t  \* MERGEFORMAT </w:instrText>
      </w:r>
      <w:r>
        <w:fldChar w:fldCharType="separate"/>
      </w:r>
      <w:r>
        <w:t>В</w:t>
      </w:r>
      <w:r>
        <w:fldChar w:fldCharType="end"/>
      </w:r>
      <w:r>
        <w:t>.</w:t>
      </w:r>
    </w:p>
    <w:p w14:paraId="641952E9">
      <w:pPr>
        <w:pStyle w:val="40"/>
      </w:pPr>
      <w:bookmarkStart w:id="619" w:name="_Ref225785625"/>
      <w:r>
        <w:t>Состав документов архива с типом сообщения «Отправлено МО»</w:t>
      </w:r>
      <w:bookmarkEnd w:id="619"/>
    </w:p>
    <w:p w14:paraId="3A8E8E69">
      <w:pPr>
        <w:pStyle w:val="44"/>
      </w:pPr>
      <w:r>
        <w:t xml:space="preserve">Состав документов в архиве (рис. </w:t>
      </w:r>
      <w:r>
        <w:fldChar w:fldCharType="begin"/>
      </w:r>
      <w:r>
        <w:instrText xml:space="preserve"> REF  _Ref225783494 \h \t \#\0 \* MERGEFORMAT </w:instrText>
      </w:r>
      <w:r>
        <w:fldChar w:fldCharType="separate"/>
      </w:r>
      <w:r>
        <w:t>148</w:t>
      </w:r>
      <w:r>
        <w:fldChar w:fldCharType="end"/>
      </w:r>
      <w:r>
        <w:t>):</w:t>
      </w:r>
    </w:p>
    <w:p w14:paraId="09FA1CDA">
      <w:pPr>
        <w:pStyle w:val="51"/>
        <w:ind w:left="1"/>
      </w:pPr>
      <w:r>
        <w:rPr>
          <w:lang w:val="en-US"/>
        </w:rPr>
        <w:t>U</w:t>
      </w:r>
      <w:r>
        <w:t xml:space="preserve">-файл счета в формате </w:t>
      </w:r>
      <w:r>
        <w:rPr>
          <w:lang w:val="en-US"/>
        </w:rPr>
        <w:t>XML</w:t>
      </w:r>
      <w:r>
        <w:t xml:space="preserve"> — начинается на «10»;</w:t>
      </w:r>
    </w:p>
    <w:p w14:paraId="5B318E57">
      <w:pPr>
        <w:pStyle w:val="51"/>
        <w:ind w:left="1"/>
      </w:pPr>
      <w:r>
        <w:t xml:space="preserve">Паспорт счета в формате </w:t>
      </w:r>
      <w:r>
        <w:rPr>
          <w:lang w:val="en-US"/>
        </w:rPr>
        <w:t>PDF</w:t>
      </w:r>
      <w:r>
        <w:t xml:space="preserve"> и </w:t>
      </w:r>
      <w:r>
        <w:rPr>
          <w:lang w:val="en-US"/>
        </w:rPr>
        <w:t>XML</w:t>
      </w:r>
      <w:r>
        <w:t xml:space="preserve"> — начинается на «11»;</w:t>
      </w:r>
    </w:p>
    <w:p w14:paraId="172E93D2">
      <w:pPr>
        <w:pStyle w:val="51"/>
        <w:ind w:left="1"/>
      </w:pPr>
      <w:r>
        <w:rPr>
          <w:lang w:val="en-US"/>
        </w:rPr>
        <w:t>H</w:t>
      </w:r>
      <w:r>
        <w:t xml:space="preserve">-файл в формате </w:t>
      </w:r>
      <w:r>
        <w:rPr>
          <w:lang w:val="en-US"/>
        </w:rPr>
        <w:t>XML</w:t>
      </w:r>
      <w:r>
        <w:t xml:space="preserve"> — начинается на «17», содержит сведения о половозрастном составе прикрепленного населения к МО счета;</w:t>
      </w:r>
    </w:p>
    <w:p w14:paraId="70E9AE8F">
      <w:pPr>
        <w:pStyle w:val="51"/>
        <w:ind w:left="1"/>
      </w:pPr>
      <w:r>
        <w:t xml:space="preserve">Файл </w:t>
      </w:r>
      <w:r>
        <w:rPr>
          <w:lang w:val="en-US"/>
        </w:rPr>
        <w:t>c</w:t>
      </w:r>
      <w:r>
        <w:t xml:space="preserve"> данными цифровой подписи (.</w:t>
      </w:r>
      <w:r>
        <w:rPr>
          <w:lang w:val="en-US"/>
        </w:rPr>
        <w:t>sig</w:t>
      </w:r>
      <w:r>
        <w:t>).</w:t>
      </w:r>
    </w:p>
    <w:p w14:paraId="4FDAAAE5">
      <w:pPr>
        <w:pStyle w:val="48"/>
      </w:pPr>
      <w:r>
        <w:drawing>
          <wp:inline distT="0" distB="0" distL="0" distR="0">
            <wp:extent cx="2638425" cy="1408430"/>
            <wp:effectExtent l="19050" t="19050" r="9525" b="20320"/>
            <wp:docPr id="31510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10997" name="Рисунок 1"/>
                    <pic:cNvPicPr>
                      <a:picLocks noChangeAspect="1"/>
                    </pic:cNvPicPr>
                  </pic:nvPicPr>
                  <pic:blipFill>
                    <a:blip r:embed="rId181"/>
                    <a:srcRect t="3337"/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40888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2DAF247">
      <w:pPr>
        <w:pStyle w:val="49"/>
      </w:pPr>
      <w:bookmarkStart w:id="620" w:name="_Ref225781528"/>
      <w:bookmarkStart w:id="621" w:name="_Ref2257834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148</w:t>
      </w:r>
      <w:r>
        <w:fldChar w:fldCharType="end"/>
      </w:r>
      <w:bookmarkEnd w:id="620"/>
      <w:r>
        <w:t xml:space="preserve"> — Пример Архив с типом «Отправлено МО»</w:t>
      </w:r>
      <w:bookmarkEnd w:id="621"/>
    </w:p>
    <w:p w14:paraId="3AF52774">
      <w:pPr>
        <w:pStyle w:val="40"/>
      </w:pPr>
      <w:r>
        <w:t>Состав архива с типом ответа «Предварительный»</w:t>
      </w:r>
    </w:p>
    <w:p w14:paraId="54D61665">
      <w:pPr>
        <w:pStyle w:val="44"/>
      </w:pPr>
      <w:bookmarkStart w:id="622" w:name="_Hlk205808089"/>
      <w:r>
        <w:t xml:space="preserve">Состав информационной посылки предварительного ответа (наименование архива начинается на «15»). Пример файлов в составе предварительного ответа представлен на рисунке </w:t>
      </w:r>
      <w:r>
        <w:fldChar w:fldCharType="begin"/>
      </w:r>
      <w:r>
        <w:instrText xml:space="preserve"> REF  _Ref205812013 \h\#\0   \* MERGEFORMAT </w:instrText>
      </w:r>
      <w:r>
        <w:fldChar w:fldCharType="separate"/>
      </w:r>
      <w:r>
        <w:t>149</w:t>
      </w:r>
      <w:r>
        <w:fldChar w:fldCharType="end"/>
      </w:r>
      <w:r>
        <w:t>.</w:t>
      </w:r>
    </w:p>
    <w:p w14:paraId="3425F49D">
      <w:pPr>
        <w:pStyle w:val="48"/>
      </w:pPr>
      <w:r>
        <w:drawing>
          <wp:inline distT="0" distB="0" distL="0" distR="0">
            <wp:extent cx="3239770" cy="2307590"/>
            <wp:effectExtent l="19050" t="19050" r="17780" b="16510"/>
            <wp:docPr id="10273826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382631" name="Рисунок 1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30782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25EF4C">
      <w:pPr>
        <w:pStyle w:val="49"/>
      </w:pPr>
      <w:bookmarkStart w:id="623" w:name="_Ref20581201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149</w:t>
      </w:r>
      <w:r>
        <w:fldChar w:fldCharType="end"/>
      </w:r>
      <w:bookmarkEnd w:id="623"/>
      <w:r>
        <w:t xml:space="preserve"> — Пример предварительного ответа Плательщика</w:t>
      </w:r>
    </w:p>
    <w:p w14:paraId="5D59FC4B">
      <w:pPr>
        <w:pStyle w:val="44"/>
      </w:pPr>
      <w:r>
        <w:t>Состав предварительного ответа:</w:t>
      </w:r>
    </w:p>
    <w:bookmarkEnd w:id="622"/>
    <w:p w14:paraId="6030A03C">
      <w:pPr>
        <w:pStyle w:val="51"/>
      </w:pPr>
      <w:r>
        <w:t>Заключение по результатам медико-экономического контроля в формате xml и pdf — наименование файла начинается на «01»;</w:t>
      </w:r>
    </w:p>
    <w:p w14:paraId="44801994">
      <w:pPr>
        <w:pStyle w:val="51"/>
      </w:pPr>
      <w:r>
        <w:t>Реестр заключений по результатам медико-экономического контроля в формате xml и pdf — наименование файла начинается на «05»;</w:t>
      </w:r>
    </w:p>
    <w:p w14:paraId="01621F4E">
      <w:pPr>
        <w:pStyle w:val="51"/>
      </w:pPr>
      <w:r>
        <w:t>Акт расчётов в формате xml и pdf — наименование файла начинается на «12»;</w:t>
      </w:r>
    </w:p>
    <w:p w14:paraId="4ABD33C9">
      <w:pPr>
        <w:pStyle w:val="51"/>
      </w:pPr>
      <w:r>
        <w:t>U-файл счёта в формате xml — наименование файла начинается на «10»;</w:t>
      </w:r>
    </w:p>
    <w:p w14:paraId="626B6F2A">
      <w:pPr>
        <w:pStyle w:val="51"/>
      </w:pPr>
      <w:r>
        <w:t>Отчет с результатами МЭК счета — файл MEK_REPORT в формате csv.</w:t>
      </w:r>
    </w:p>
    <w:p w14:paraId="311525A7">
      <w:pPr>
        <w:pStyle w:val="40"/>
      </w:pPr>
      <w:bookmarkStart w:id="624" w:name="_Ref225785642"/>
      <w:r>
        <w:t>Состав архива с типом ответа «Финальный»</w:t>
      </w:r>
      <w:bookmarkEnd w:id="624"/>
    </w:p>
    <w:p w14:paraId="295F5F0B">
      <w:pPr>
        <w:pStyle w:val="44"/>
      </w:pPr>
      <w:r>
        <w:t>Архив информационной посылки финального ответа содержит следующие файлы:</w:t>
      </w:r>
    </w:p>
    <w:p w14:paraId="4ACDDF8B">
      <w:pPr>
        <w:pStyle w:val="50"/>
        <w:numPr>
          <w:ilvl w:val="0"/>
          <w:numId w:val="19"/>
        </w:numPr>
        <w:tabs>
          <w:tab w:val="clear" w:pos="0"/>
        </w:tabs>
      </w:pPr>
      <w:r>
        <w:t>файл с подписью (.sig);</w:t>
      </w:r>
    </w:p>
    <w:p w14:paraId="5705BA53">
      <w:pPr>
        <w:pStyle w:val="50"/>
        <w:tabs>
          <w:tab w:val="clear" w:pos="0"/>
        </w:tabs>
      </w:pPr>
      <w:r>
        <w:t>архив финального ответа Плательщика (наименование файла начинается на «16»);</w:t>
      </w:r>
    </w:p>
    <w:p w14:paraId="11C9F266">
      <w:pPr>
        <w:pStyle w:val="50"/>
        <w:tabs>
          <w:tab w:val="clear" w:pos="0"/>
        </w:tabs>
      </w:pPr>
      <w:r>
        <w:t>архив с документами результатов МЭК (наименование файла начинается на «23»).</w:t>
      </w:r>
    </w:p>
    <w:p w14:paraId="0B64EA48">
      <w:pPr>
        <w:pStyle w:val="44"/>
      </w:pPr>
      <w:r>
        <w:t xml:space="preserve">Пример информационной посылки финального ответа представлен на рисунке </w:t>
      </w:r>
    </w:p>
    <w:p w14:paraId="397C7A9D">
      <w:pPr>
        <w:pStyle w:val="48"/>
      </w:pPr>
      <w:r>
        <w:drawing>
          <wp:inline distT="0" distB="0" distL="0" distR="0">
            <wp:extent cx="3933825" cy="1104900"/>
            <wp:effectExtent l="19050" t="19050" r="28575" b="19050"/>
            <wp:docPr id="17418198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819879" name="Рисунок 1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3934374" cy="110505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78A42F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150</w:t>
      </w:r>
      <w:r>
        <w:fldChar w:fldCharType="end"/>
      </w:r>
      <w:r>
        <w:t xml:space="preserve"> — Пример информационной посылки. Тип ответа «Финальный»</w:t>
      </w:r>
    </w:p>
    <w:p w14:paraId="6A3FA664">
      <w:pPr>
        <w:pStyle w:val="44"/>
      </w:pPr>
      <w:r>
        <w:t xml:space="preserve">Пример файлов в составе финального ответа Плательщика представлен на рисунке </w:t>
      </w:r>
      <w:r>
        <w:fldChar w:fldCharType="begin"/>
      </w:r>
      <w:r>
        <w:instrText xml:space="preserve"> REF  _Ref205810770 \h\#\0   \* MERGEFORMAT </w:instrText>
      </w:r>
      <w:r>
        <w:fldChar w:fldCharType="separate"/>
      </w:r>
      <w:r>
        <w:t>151</w:t>
      </w:r>
      <w:r>
        <w:fldChar w:fldCharType="end"/>
      </w:r>
      <w:r>
        <w:t>.</w:t>
      </w:r>
      <w:bookmarkStart w:id="625" w:name="_Hlk195091387"/>
    </w:p>
    <w:bookmarkEnd w:id="625"/>
    <w:p w14:paraId="26DF4C55">
      <w:pPr>
        <w:pStyle w:val="48"/>
      </w:pPr>
      <w:r>
        <w:drawing>
          <wp:inline distT="0" distB="0" distL="0" distR="0">
            <wp:extent cx="3676650" cy="1933575"/>
            <wp:effectExtent l="19050" t="19050" r="19050" b="28575"/>
            <wp:docPr id="938626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26820" name="Рисунок 1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19338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8011F9">
      <w:pPr>
        <w:pStyle w:val="49"/>
      </w:pPr>
      <w:bookmarkStart w:id="626" w:name="_Ref20581077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151</w:t>
      </w:r>
      <w:r>
        <w:fldChar w:fldCharType="end"/>
      </w:r>
      <w:bookmarkEnd w:id="626"/>
      <w:r>
        <w:t xml:space="preserve"> — Пример финального ответа Плательщика</w:t>
      </w:r>
    </w:p>
    <w:p w14:paraId="4F3E6708">
      <w:pPr>
        <w:pStyle w:val="44"/>
      </w:pPr>
      <w:r>
        <w:t>Состав архива финального ответа:</w:t>
      </w:r>
    </w:p>
    <w:p w14:paraId="28037520">
      <w:pPr>
        <w:pStyle w:val="51"/>
      </w:pPr>
      <w:r>
        <w:t>Акт подушевого финансирования в форматах xml и pdf и файл с подписью акта подушевого финансирования (.</w:t>
      </w:r>
      <w:r>
        <w:rPr>
          <w:lang w:val="en-US"/>
        </w:rPr>
        <w:t>sig</w:t>
      </w:r>
      <w:r>
        <w:t>) — наименование файла начинается на «13»;</w:t>
      </w:r>
    </w:p>
    <w:p w14:paraId="27B11096">
      <w:pPr>
        <w:pStyle w:val="51"/>
      </w:pPr>
      <w:r>
        <w:t>U-файл счёта в формате xml — наименование файла начинается на «10»;</w:t>
      </w:r>
    </w:p>
    <w:p w14:paraId="4ED61AAA">
      <w:pPr>
        <w:pStyle w:val="51"/>
      </w:pPr>
      <w:r>
        <w:t>Акт расчётов в формате xml и pdf и файл с подписью акта расчета (.</w:t>
      </w:r>
      <w:r>
        <w:rPr>
          <w:lang w:val="en-US"/>
        </w:rPr>
        <w:t>sig</w:t>
      </w:r>
      <w:r>
        <w:t>) — наименование файла начинается на «12»;</w:t>
      </w:r>
    </w:p>
    <w:p w14:paraId="06C9D33D">
      <w:pPr>
        <w:pStyle w:val="51"/>
      </w:pPr>
      <w:r>
        <w:t>M</w:t>
      </w:r>
      <w:r>
        <w:rPr>
          <w:lang w:val="en-US"/>
        </w:rPr>
        <w:t>E</w:t>
      </w:r>
      <w:r>
        <w:t>-файл с результатами экспертиз за предыдущие периоды в формате xml — наименование файла начинается на «18»;</w:t>
      </w:r>
    </w:p>
    <w:p w14:paraId="07B978B8">
      <w:pPr>
        <w:pStyle w:val="51"/>
      </w:pPr>
      <w:r>
        <w:t>Отчет с результатами МЭК счета — файл MEK_REPORT в формате csv;</w:t>
      </w:r>
    </w:p>
    <w:p w14:paraId="7158EF1A">
      <w:pPr>
        <w:pStyle w:val="51"/>
      </w:pPr>
      <w:r>
        <w:t>Входящие горизонтальные взаиморасчеты — файл incomingHorizontalCalculations в формате csv;</w:t>
      </w:r>
    </w:p>
    <w:p w14:paraId="7BD9A47D">
      <w:pPr>
        <w:pStyle w:val="51"/>
      </w:pPr>
      <w:r>
        <w:t>Исходящие горизонтальные взаиморасчеты— файл outcomingHorizontalCalculations в формате csv.</w:t>
      </w:r>
    </w:p>
    <w:p w14:paraId="67884CEA">
      <w:pPr>
        <w:pStyle w:val="44"/>
      </w:pPr>
      <w:r>
        <w:t>Состав архива с результатами МЭК содержит следующие файлы в формате XML и PDF и файлы с подписью (</w:t>
      </w:r>
      <w:r>
        <w:rPr>
          <w:lang w:val="en-US"/>
        </w:rPr>
        <w:t>.sig</w:t>
      </w:r>
      <w:r>
        <w:t>):</w:t>
      </w:r>
    </w:p>
    <w:p w14:paraId="72FB906F">
      <w:pPr>
        <w:pStyle w:val="51"/>
      </w:pPr>
      <w:r>
        <w:t>Заключение по результатам медико-экономического контроля в формате xml и pdf — наименование файла начинается на «01»;</w:t>
      </w:r>
    </w:p>
    <w:p w14:paraId="37E0F3F3">
      <w:pPr>
        <w:pStyle w:val="51"/>
      </w:pPr>
      <w:r>
        <w:t>Реестр заключений по результатам медико-экономического контроля в формате xml и pdf — наименование файла начинается на «05».</w:t>
      </w:r>
    </w:p>
    <w:p w14:paraId="4BFB9468">
      <w:pPr>
        <w:pStyle w:val="48"/>
      </w:pPr>
      <w:r>
        <w:drawing>
          <wp:inline distT="0" distB="0" distL="0" distR="0">
            <wp:extent cx="2628900" cy="1447800"/>
            <wp:effectExtent l="19050" t="19050" r="19050" b="19050"/>
            <wp:docPr id="9717223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722336" name="Рисунок 1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144800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793F8A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152</w:t>
      </w:r>
      <w:r>
        <w:fldChar w:fldCharType="end"/>
      </w:r>
      <w:r>
        <w:t xml:space="preserve"> — Пример Архив с результатами МЭК</w:t>
      </w:r>
    </w:p>
    <w:bookmarkEnd w:id="611"/>
    <w:bookmarkEnd w:id="618"/>
    <w:p w14:paraId="5D2DA52D">
      <w:pPr>
        <w:pStyle w:val="38"/>
      </w:pPr>
      <w:bookmarkStart w:id="627" w:name="_Ref155773288"/>
      <w:bookmarkStart w:id="628" w:name="_Toc225871529"/>
      <w:r>
        <w:t>Просмотр реестра направлений</w:t>
      </w:r>
      <w:bookmarkEnd w:id="627"/>
      <w:bookmarkEnd w:id="628"/>
    </w:p>
    <w:p w14:paraId="3B26A6DC">
      <w:pPr>
        <w:pStyle w:val="39"/>
      </w:pPr>
      <w:bookmarkStart w:id="629" w:name="_Toc225871530"/>
      <w:bookmarkStart w:id="630" w:name="_Toc149209646"/>
      <w:bookmarkStart w:id="631" w:name="_Ref143800924"/>
      <w:r>
        <w:t>Поиск и просмотр сведений о направлениях</w:t>
      </w:r>
      <w:bookmarkEnd w:id="629"/>
      <w:bookmarkEnd w:id="630"/>
      <w:bookmarkEnd w:id="631"/>
    </w:p>
    <w:p w14:paraId="54DC14E5">
      <w:pPr>
        <w:pStyle w:val="44"/>
      </w:pPr>
      <w:r>
        <w:t>Сведения о входящих и</w:t>
      </w:r>
      <w:r>
        <w:rPr>
          <w:lang w:val="en-US"/>
        </w:rPr>
        <w:t> </w:t>
      </w:r>
      <w:r>
        <w:t>исходящих направлениях МО отображаются в разделе «Реестр направлений».</w:t>
      </w:r>
    </w:p>
    <w:p w14:paraId="1A1A8044">
      <w:pPr>
        <w:pStyle w:val="44"/>
      </w:pPr>
      <w:r>
        <w:t>Реестр направлений формируется автоматически на основании сведений о направлениях в составе СЭФД. Данные регистрируются при создании СЭФД в ФПУМП (могут быть введены вручную или переданы из МИС МО при помощи веб-сервиса).</w:t>
      </w:r>
    </w:p>
    <w:p w14:paraId="55F9FF4C">
      <w:pPr>
        <w:pStyle w:val="44"/>
      </w:pPr>
      <w:r>
        <w:t>Направления служат для обоснования оказания МП и связывают между собой медицинские случаи в истории пациента.</w:t>
      </w:r>
    </w:p>
    <w:p w14:paraId="05B779D6">
      <w:pPr>
        <w:pStyle w:val="44"/>
      </w:pPr>
      <w:r>
        <w:t>Для перехода в раздел нажать в ленте главного меню вкладку «Реестр направлений».</w:t>
      </w:r>
    </w:p>
    <w:p w14:paraId="6AC9C501">
      <w:pPr>
        <w:pStyle w:val="44"/>
      </w:pPr>
      <w:r>
        <w:t xml:space="preserve">Поиск направлений в панели фильтрации и поиска информации возможен как по пациенту, так и по общей информации (рис. </w:t>
      </w:r>
      <w:r>
        <w:fldChar w:fldCharType="begin"/>
      </w:r>
      <w:r>
        <w:instrText xml:space="preserve"> REF  _Ref143804653 \h\#0   \* MERGEFORMAT </w:instrText>
      </w:r>
      <w:r>
        <w:fldChar w:fldCharType="separate"/>
      </w:r>
      <w:r>
        <w:t>153</w:t>
      </w:r>
      <w:r>
        <w:fldChar w:fldCharType="end"/>
      </w:r>
      <w:r>
        <w:t>). В блоке «Фильтр» необходимо указать параметры поиска и нажать кнопку «Найти».</w:t>
      </w:r>
    </w:p>
    <w:p w14:paraId="1B09AB71">
      <w:pPr>
        <w:pStyle w:val="48"/>
        <w:rPr>
          <w:lang w:val="en-US"/>
        </w:rPr>
      </w:pPr>
      <w:r>
        <w:drawing>
          <wp:inline distT="0" distB="0" distL="0" distR="0">
            <wp:extent cx="2339975" cy="6236335"/>
            <wp:effectExtent l="19050" t="19050" r="22225" b="12065"/>
            <wp:docPr id="989174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174565" name="Рисунок 1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23689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C16AB40">
      <w:pPr>
        <w:pStyle w:val="49"/>
      </w:pPr>
      <w:bookmarkStart w:id="632" w:name="_Ref1438046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153</w:t>
      </w:r>
      <w:r>
        <w:fldChar w:fldCharType="end"/>
      </w:r>
      <w:bookmarkEnd w:id="632"/>
      <w:r>
        <w:t xml:space="preserve"> — Поиск направлений</w:t>
      </w:r>
    </w:p>
    <w:p w14:paraId="7CB47BA1">
      <w:pPr>
        <w:pStyle w:val="44"/>
      </w:pPr>
      <w:r>
        <w:t xml:space="preserve">В «Реестре направлений» отобразится список направлений, соответствующих критериям поиска (рис. </w:t>
      </w:r>
      <w:r>
        <w:fldChar w:fldCharType="begin"/>
      </w:r>
      <w:r>
        <w:instrText xml:space="preserve"> REF  _Ref143804690 \h\#\0   \* MERGEFORMAT </w:instrText>
      </w:r>
      <w:r>
        <w:fldChar w:fldCharType="separate"/>
      </w:r>
      <w:r>
        <w:t>154</w:t>
      </w:r>
      <w:r>
        <w:fldChar w:fldCharType="end"/>
      </w:r>
      <w:r>
        <w:t>).</w:t>
      </w:r>
    </w:p>
    <w:p w14:paraId="18229E83">
      <w:pPr>
        <w:pStyle w:val="48"/>
      </w:pPr>
      <w:r>
        <w:drawing>
          <wp:inline distT="0" distB="0" distL="0" distR="0">
            <wp:extent cx="6119495" cy="1341120"/>
            <wp:effectExtent l="19050" t="19050" r="14605" b="11430"/>
            <wp:docPr id="11067977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797772" name="Рисунок 1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411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0CBDDB">
      <w:pPr>
        <w:pStyle w:val="49"/>
      </w:pPr>
      <w:bookmarkStart w:id="633" w:name="_Ref14380469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154</w:t>
      </w:r>
      <w:r>
        <w:fldChar w:fldCharType="end"/>
      </w:r>
      <w:bookmarkEnd w:id="633"/>
      <w:r>
        <w:t xml:space="preserve"> — Реестр направлений</w:t>
      </w:r>
    </w:p>
    <w:p w14:paraId="28DC5C91">
      <w:pPr>
        <w:pStyle w:val="44"/>
      </w:pPr>
      <w:r>
        <w:t>Табличная часть формы включает столбцы, содержащие следующую информацию о направлении:</w:t>
      </w:r>
    </w:p>
    <w:p w14:paraId="5326D17E">
      <w:pPr>
        <w:pStyle w:val="51"/>
      </w:pPr>
      <w:bookmarkStart w:id="634" w:name="_Hlk205805247"/>
      <w:r>
        <w:t>«№ п/п» — порядковый номер записи;</w:t>
      </w:r>
    </w:p>
    <w:p w14:paraId="133FBA00">
      <w:pPr>
        <w:pStyle w:val="51"/>
      </w:pPr>
      <w:r>
        <w:t>«Пациент» — обезличенный идентификатор пациента (ОИП);</w:t>
      </w:r>
    </w:p>
    <w:bookmarkEnd w:id="634"/>
    <w:p w14:paraId="0ECF42B5">
      <w:pPr>
        <w:pStyle w:val="51"/>
      </w:pPr>
      <w:r>
        <w:t>«Направившая МО» — краткое наименование медицинской организации, выдавшей направление;</w:t>
      </w:r>
    </w:p>
    <w:p w14:paraId="403ECFC7">
      <w:pPr>
        <w:pStyle w:val="51"/>
      </w:pPr>
      <w:r>
        <w:t>«Направившая организация (не МО)» — краткое наименование направившей организации отличной от МО;</w:t>
      </w:r>
    </w:p>
    <w:p w14:paraId="44B5DDB5">
      <w:pPr>
        <w:pStyle w:val="51"/>
      </w:pPr>
      <w:r>
        <w:t>«МО, в которую направлен» — краткое наименование медицинской организации, в которую выдано направление;</w:t>
      </w:r>
    </w:p>
    <w:p w14:paraId="10074F7C">
      <w:pPr>
        <w:pStyle w:val="51"/>
      </w:pPr>
      <w:r>
        <w:t>«Организация, в которую направлен (не МО)» — краткое наименование организации, отличной от МО, в которую выдано направление;</w:t>
      </w:r>
    </w:p>
    <w:p w14:paraId="0380FCA7">
      <w:pPr>
        <w:pStyle w:val="51"/>
      </w:pPr>
      <w:r>
        <w:t>«Номер направления» — номер направления;</w:t>
      </w:r>
    </w:p>
    <w:p w14:paraId="0669336A">
      <w:pPr>
        <w:pStyle w:val="51"/>
      </w:pPr>
      <w:r>
        <w:t xml:space="preserve">«ИД СЭМД» — </w:t>
      </w:r>
      <w:bookmarkStart w:id="635" w:name="_Hlk147394831"/>
      <w:r>
        <w:t>идентификатор электронного направления во внешней системе</w:t>
      </w:r>
      <w:bookmarkEnd w:id="635"/>
      <w:r>
        <w:t>;</w:t>
      </w:r>
    </w:p>
    <w:p w14:paraId="0CE62B73">
      <w:pPr>
        <w:pStyle w:val="51"/>
      </w:pPr>
      <w:r>
        <w:t>«Дата создания направления» — дата создания направления в формате дд.мм.гггг;</w:t>
      </w:r>
    </w:p>
    <w:p w14:paraId="751D8842">
      <w:pPr>
        <w:pStyle w:val="51"/>
      </w:pPr>
      <w:r>
        <w:t>«Дата выдачи направления» — дата направления в формате дд.мм.гггг;</w:t>
      </w:r>
    </w:p>
    <w:p w14:paraId="09012FA3">
      <w:pPr>
        <w:pStyle w:val="51"/>
      </w:pPr>
      <w:r>
        <w:t>«Вид направления» — код вида направления согласно расширенному справочнику «Виды медицинских направлений» 1.2.643.5.1.13.13.11.1009;</w:t>
      </w:r>
    </w:p>
    <w:p w14:paraId="0D8D23CF">
      <w:pPr>
        <w:pStyle w:val="51"/>
      </w:pPr>
      <w:r>
        <w:t>«Диагноз в направлении» — диагноз направления;</w:t>
      </w:r>
    </w:p>
    <w:p w14:paraId="7AA37A63">
      <w:pPr>
        <w:pStyle w:val="51"/>
      </w:pPr>
      <w:r>
        <w:t>«</w:t>
      </w:r>
      <w:bookmarkStart w:id="636" w:name="_Hlk164154744"/>
      <w:r>
        <w:t xml:space="preserve">Должность </w:t>
      </w:r>
      <w:bookmarkEnd w:id="636"/>
      <w:r>
        <w:t>направившего врача» — должность работников организаций медицинского и фармацевтического профиля 1.2.643.5.1.13.13.11.1002;</w:t>
      </w:r>
    </w:p>
    <w:p w14:paraId="6C9B1F06">
      <w:pPr>
        <w:pStyle w:val="51"/>
      </w:pPr>
      <w:r>
        <w:t>«Профиль медицинской помощи» — профиль медицинской помощи 1.2.643.5.1.13.13.11.1119.</w:t>
      </w:r>
    </w:p>
    <w:p w14:paraId="1DF0205D">
      <w:pPr>
        <w:pStyle w:val="39"/>
      </w:pPr>
      <w:bookmarkStart w:id="637" w:name="_Toc225871531"/>
      <w:bookmarkStart w:id="638" w:name="_Toc149209647"/>
      <w:bookmarkStart w:id="639" w:name="_Ref143800930"/>
      <w:r>
        <w:t>Регистрация сведений входящего направления</w:t>
      </w:r>
      <w:bookmarkEnd w:id="637"/>
      <w:bookmarkEnd w:id="638"/>
      <w:bookmarkEnd w:id="639"/>
    </w:p>
    <w:p w14:paraId="20165432">
      <w:pPr>
        <w:pStyle w:val="44"/>
      </w:pPr>
      <w:r>
        <w:t>Регистрация сведений о входящем направлении осуществляется при создании СЭФД</w:t>
      </w:r>
      <w:r>
        <w:rPr>
          <w:lang w:val="en-US"/>
        </w:rPr>
        <w:t> </w:t>
      </w:r>
      <w:r>
        <w:t xml:space="preserve">СТЦ в подразделе «Госпитализация» (см. </w:t>
      </w:r>
      <w:r>
        <w:fldChar w:fldCharType="begin"/>
      </w:r>
      <w:r>
        <w:instrText xml:space="preserve"> REF _Ref147395522 \n \h  \* MERGEFORMAT </w:instrText>
      </w:r>
      <w:r>
        <w:fldChar w:fldCharType="separate"/>
      </w:r>
      <w:r>
        <w:t>4.2.3.1</w:t>
      </w:r>
      <w:r>
        <w:fldChar w:fldCharType="end"/>
      </w:r>
      <w:r>
        <w:t>) или СЭФД АМБ в подразделе «АМБ» (см. </w:t>
      </w:r>
      <w:r>
        <w:fldChar w:fldCharType="begin"/>
      </w:r>
      <w:r>
        <w:instrText xml:space="preserve"> REF _Ref165036593 \n \h  \* MERGEFORMAT </w:instrText>
      </w:r>
      <w:r>
        <w:fldChar w:fldCharType="separate"/>
      </w:r>
      <w:r>
        <w:t>4.2.4.1</w:t>
      </w:r>
      <w:r>
        <w:fldChar w:fldCharType="end"/>
      </w:r>
      <w:r>
        <w:t>).</w:t>
      </w:r>
    </w:p>
    <w:p w14:paraId="040DB4E5">
      <w:pPr>
        <w:pStyle w:val="44"/>
      </w:pPr>
      <w:r>
        <w:t>Если в Реестре направлений имеются сведения о направлении, внесенные в ФПУМП организацией, выдавшей направление, то при формировании СЭФД поля с данными о</w:t>
      </w:r>
      <w:r>
        <w:rPr>
          <w:lang w:val="en-US"/>
        </w:rPr>
        <w:t> </w:t>
      </w:r>
      <w:r>
        <w:t>входящем направлении заполняются автоматически после указания номера направления в поле «Поиск по номеру».</w:t>
      </w:r>
    </w:p>
    <w:p w14:paraId="22003660">
      <w:pPr>
        <w:pStyle w:val="44"/>
      </w:pPr>
      <w:r>
        <w:t>Наличие входящего направления используется в контролях СЭФД СТЦ, горизонтальных (межучрежденческих) расчетах.</w:t>
      </w:r>
    </w:p>
    <w:p w14:paraId="13A8D5C9">
      <w:pPr>
        <w:pStyle w:val="44"/>
      </w:pPr>
      <w:r>
        <w:t>Корректировка направления возможна только МО, выдавшей направление.</w:t>
      </w:r>
    </w:p>
    <w:p w14:paraId="4F1E4EC5">
      <w:pPr>
        <w:pStyle w:val="39"/>
      </w:pPr>
      <w:bookmarkStart w:id="640" w:name="_Toc225871532"/>
      <w:bookmarkStart w:id="641" w:name="_Ref143800934"/>
      <w:bookmarkStart w:id="642" w:name="_Toc149209648"/>
      <w:r>
        <w:t>Регистрация сведений исходящего направления</w:t>
      </w:r>
      <w:bookmarkEnd w:id="640"/>
      <w:bookmarkEnd w:id="641"/>
      <w:bookmarkEnd w:id="642"/>
    </w:p>
    <w:p w14:paraId="58C0B1BC">
      <w:pPr>
        <w:pStyle w:val="44"/>
      </w:pPr>
      <w:r>
        <w:t xml:space="preserve">Регистрация сведений исходящего направления осуществляется в подразделе «Выданные направления» при создании СЭФД СТЦ (см. </w:t>
      </w:r>
      <w:r>
        <w:fldChar w:fldCharType="begin"/>
      </w:r>
      <w:r>
        <w:instrText xml:space="preserve"> REF _Ref157512718 \r \h  \* MERGEFORMAT </w:instrText>
      </w:r>
      <w:r>
        <w:fldChar w:fldCharType="separate"/>
      </w:r>
      <w:r>
        <w:t>4.2.3.7</w:t>
      </w:r>
      <w:r>
        <w:fldChar w:fldCharType="end"/>
      </w:r>
      <w:r>
        <w:t xml:space="preserve">) и СЭФД АМБ (см. </w:t>
      </w:r>
      <w:r>
        <w:fldChar w:fldCharType="begin"/>
      </w:r>
      <w:r>
        <w:instrText xml:space="preserve"> REF _Ref147395493 \n \h  \* MERGEFORMAT </w:instrText>
      </w:r>
      <w:r>
        <w:fldChar w:fldCharType="separate"/>
      </w:r>
      <w:r>
        <w:t>4.2.3.7</w:t>
      </w:r>
      <w:r>
        <w:fldChar w:fldCharType="end"/>
      </w:r>
      <w:r>
        <w:t>).</w:t>
      </w:r>
    </w:p>
    <w:p w14:paraId="444584E1">
      <w:pPr>
        <w:pStyle w:val="39"/>
      </w:pPr>
      <w:bookmarkStart w:id="643" w:name="_Toc225871533"/>
      <w:bookmarkStart w:id="644" w:name="_Ref164172143"/>
      <w:r>
        <w:t>Направления и талоны на специализированную и высокотехнологичную медицинскую помощь</w:t>
      </w:r>
      <w:bookmarkEnd w:id="643"/>
      <w:bookmarkEnd w:id="644"/>
    </w:p>
    <w:p w14:paraId="0015271F">
      <w:pPr>
        <w:pStyle w:val="44"/>
      </w:pPr>
      <w:r>
        <w:t>Реестр талонов на специализированную медицинскую помощь (СпМП) и высокотехнологичную медицинскую помощь (ВМП) ведется отдельно.</w:t>
      </w:r>
    </w:p>
    <w:p w14:paraId="5DCF654D">
      <w:pPr>
        <w:pStyle w:val="44"/>
      </w:pPr>
      <w:r>
        <w:t>Информация о талонах СпМП и ВМП поступает по расписанию в ФПУМП только из подсистем СМП и ВМП ЕГИСЗ соответственно. Ручной ввод талонов в ФПУМП не осуществляется.</w:t>
      </w:r>
    </w:p>
    <w:p w14:paraId="7A0BE9CD">
      <w:pPr>
        <w:pStyle w:val="44"/>
      </w:pPr>
      <w:r>
        <w:t>В ФПУМП хранится связь между направлениями на СпМП и ВМП и талонами на СпМП и ВМП в случае, если талон привязан к направлению в пользовательском интерфейсе ФПУМП оператором МО или связь талона и направления передана через интеграционное взаимодействие с ФПУМП. В целевой модели после доработки системы ЕГИСЗ связь направления на СМП или ВМП с Талоном на СМП или ВМП будет подгружаться автоматически.</w:t>
      </w:r>
    </w:p>
    <w:p w14:paraId="0FFA1FDA">
      <w:pPr>
        <w:pStyle w:val="38"/>
      </w:pPr>
      <w:bookmarkStart w:id="645" w:name="_Ref154653240"/>
      <w:bookmarkStart w:id="646" w:name="_Ref154653241"/>
      <w:bookmarkStart w:id="647" w:name="_Toc225871534"/>
      <w:r>
        <w:t>Просмотр результатов экспертизы</w:t>
      </w:r>
      <w:bookmarkEnd w:id="645"/>
      <w:bookmarkEnd w:id="646"/>
      <w:bookmarkEnd w:id="647"/>
    </w:p>
    <w:p w14:paraId="09A49949">
      <w:pPr>
        <w:pStyle w:val="39"/>
      </w:pPr>
      <w:bookmarkStart w:id="648" w:name="_Hlk205994491"/>
      <w:bookmarkStart w:id="649" w:name="_Ref154569929"/>
      <w:bookmarkStart w:id="650" w:name="_Toc225871535"/>
      <w:r>
        <w:t xml:space="preserve">Общие сведения о проведении </w:t>
      </w:r>
      <w:bookmarkEnd w:id="648"/>
      <w:r>
        <w:t>МЭЭ и ЭКМП</w:t>
      </w:r>
      <w:bookmarkEnd w:id="649"/>
      <w:bookmarkEnd w:id="650"/>
    </w:p>
    <w:p w14:paraId="0A992F25">
      <w:pPr>
        <w:pStyle w:val="44"/>
      </w:pPr>
      <w:r>
        <w:t>Медико-экономическая экспертиза (МЭЭ) проводится в целях установления соответствия фактических сроков оказания медицинской помощи, объема предъявленных к оплате медицинских услуг записям в первичной медицинской документации и учетно-отчетной документации медицинской организации.</w:t>
      </w:r>
    </w:p>
    <w:p w14:paraId="31B26151">
      <w:pPr>
        <w:pStyle w:val="44"/>
      </w:pPr>
      <w:r>
        <w:t>Экспертиза качества медицинской помощи (ЭКМП) проводится в целях выявления нарушений при оказании медицинской помощи, в том числе оценки своевременности ее оказания, правильности выбора методов профилактики, диагностики, лечения и реабилитации, степени достижения запланированного результата.</w:t>
      </w:r>
    </w:p>
    <w:p w14:paraId="234C2B78">
      <w:pPr>
        <w:pStyle w:val="44"/>
      </w:pPr>
      <w:bookmarkStart w:id="651" w:name="_Hlk205994543"/>
      <w:r>
        <w:t>Создание экспертизы (в том числе прикрепление СЭФД, включенных в счет), назначение эксперта и публикацию экспертизы осуществляют сотрудники ответственной организации:</w:t>
      </w:r>
    </w:p>
    <w:p w14:paraId="3C2C5DEB">
      <w:pPr>
        <w:pStyle w:val="51"/>
      </w:pPr>
      <w:bookmarkStart w:id="652" w:name="_Hlk155974565"/>
      <w:r>
        <w:t>ФОМС — проведение МЭЭ и ЭКМП по счетам ФМО;</w:t>
      </w:r>
    </w:p>
    <w:p w14:paraId="0D1BCEDD">
      <w:pPr>
        <w:pStyle w:val="51"/>
      </w:pPr>
      <w:r>
        <w:t>СМО — проведение МЭЭ;</w:t>
      </w:r>
    </w:p>
    <w:p w14:paraId="7EDB9ED7">
      <w:pPr>
        <w:pStyle w:val="51"/>
      </w:pPr>
      <w:r>
        <w:t>ТФОМС — проведение ЭКМП;</w:t>
      </w:r>
    </w:p>
    <w:bookmarkEnd w:id="652"/>
    <w:p w14:paraId="4A69A4E7">
      <w:pPr>
        <w:pStyle w:val="51"/>
      </w:pPr>
      <w:r>
        <w:t>специалисты-эксперты — проведение МЭЭ;</w:t>
      </w:r>
    </w:p>
    <w:p w14:paraId="51E80311">
      <w:pPr>
        <w:pStyle w:val="51"/>
      </w:pPr>
      <w:r>
        <w:t>эксперты качества МП — проведение ЭКМП.</w:t>
      </w:r>
    </w:p>
    <w:bookmarkEnd w:id="651"/>
    <w:p w14:paraId="4CCA7226">
      <w:pPr>
        <w:pStyle w:val="44"/>
      </w:pPr>
      <w:bookmarkStart w:id="653" w:name="_Hlk205994642"/>
      <w:r>
        <w:t>После публикации экспертизы и назначения эксперта для проведения экспертизы, формируется уведомление о проведении экспертизы</w:t>
      </w:r>
      <w:r>
        <w:rPr>
          <w:rStyle w:val="14"/>
        </w:rPr>
        <w:footnoteReference w:id="2"/>
      </w:r>
      <w:r>
        <w:t>.</w:t>
      </w:r>
    </w:p>
    <w:p w14:paraId="0D8A06E1">
      <w:pPr>
        <w:pStyle w:val="44"/>
      </w:pPr>
      <w:r>
        <w:t>Опубликованное уведомление о проведении экспертизы становится доступно МО, что дает возможность начать подготовку к проведению экспертизы.</w:t>
      </w:r>
    </w:p>
    <w:p w14:paraId="7FA15D31">
      <w:pPr>
        <w:pStyle w:val="44"/>
      </w:pPr>
      <w:r>
        <w:t xml:space="preserve">Результаты экспертизы оформляются соответствующим </w:t>
      </w:r>
      <w:bookmarkStart w:id="654" w:name="_Hlk154566852"/>
      <w:r>
        <w:t>Заключением</w:t>
      </w:r>
      <w:r>
        <w:rPr>
          <w:rStyle w:val="14"/>
        </w:rPr>
        <w:footnoteReference w:id="3"/>
      </w:r>
      <w:r>
        <w:t xml:space="preserve"> </w:t>
      </w:r>
      <w:bookmarkEnd w:id="654"/>
      <w:r>
        <w:t>на основе экспертных заключений по законченным случаям.</w:t>
      </w:r>
    </w:p>
    <w:bookmarkEnd w:id="653"/>
    <w:p w14:paraId="63DF5F46">
      <w:pPr>
        <w:pStyle w:val="39"/>
        <w:rPr>
          <w:lang w:eastAsia="en-US"/>
        </w:rPr>
      </w:pPr>
      <w:bookmarkStart w:id="655" w:name="_Ref154570402"/>
      <w:bookmarkStart w:id="656" w:name="_Toc225871536"/>
      <w:bookmarkStart w:id="657" w:name="_Toc149209665"/>
      <w:bookmarkStart w:id="658" w:name="_Hlk205994860"/>
      <w:r>
        <w:rPr>
          <w:lang w:eastAsia="en-US"/>
        </w:rPr>
        <w:t>Поиск и просмотр экспертиз</w:t>
      </w:r>
      <w:bookmarkEnd w:id="655"/>
      <w:bookmarkEnd w:id="656"/>
      <w:bookmarkEnd w:id="657"/>
    </w:p>
    <w:p w14:paraId="0B56FE77">
      <w:pPr>
        <w:pStyle w:val="44"/>
      </w:pPr>
      <w:r>
        <w:t>Просмотр сведений о назначенных экспертизах и результатов проведенных экспертиз осуществляется в разделе «Экспертиза».</w:t>
      </w:r>
    </w:p>
    <w:p w14:paraId="236CD347">
      <w:pPr>
        <w:pStyle w:val="44"/>
      </w:pPr>
      <w:r>
        <w:t xml:space="preserve">Для перехода в раздел нажать в ленте главного меню кнопку «Все разделы» и в раскрывающемся меню выбрать пункт «Экспертиза» (рис. </w:t>
      </w:r>
      <w:r>
        <w:fldChar w:fldCharType="begin"/>
      </w:r>
      <w:r>
        <w:instrText xml:space="preserve"> REF  _Ref164942995 \h\#\0   \* MERGEFORMAT </w:instrText>
      </w:r>
      <w:r>
        <w:fldChar w:fldCharType="separate"/>
      </w:r>
      <w:r>
        <w:t>155</w:t>
      </w:r>
      <w:r>
        <w:fldChar w:fldCharType="end"/>
      </w:r>
      <w:r>
        <w:t>).</w:t>
      </w:r>
    </w:p>
    <w:p w14:paraId="1E8E97D4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6119495" cy="1931035"/>
            <wp:effectExtent l="19050" t="19050" r="14605" b="12065"/>
            <wp:docPr id="1569214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214282" name="Рисунок 1"/>
                    <pic:cNvPicPr>
                      <a:picLocks noChangeAspect="1"/>
                    </pic:cNvPicPr>
                  </pic:nvPicPr>
                  <pic:blipFill>
                    <a:blip r:embed="rId188"/>
                    <a:srcRect b="387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3121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0B7CB0">
      <w:pPr>
        <w:pStyle w:val="49"/>
      </w:pPr>
      <w:bookmarkStart w:id="659" w:name="_Ref1649429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155</w:t>
      </w:r>
      <w:r>
        <w:fldChar w:fldCharType="end"/>
      </w:r>
      <w:bookmarkEnd w:id="659"/>
      <w:r>
        <w:t xml:space="preserve"> — Все разделы. Переход в раздел «Экспертиза»</w:t>
      </w:r>
    </w:p>
    <w:p w14:paraId="20F21F8A">
      <w:pPr>
        <w:pStyle w:val="44"/>
      </w:pPr>
      <w:r>
        <w:t xml:space="preserve">В рабочей области отобразится список экспертиз по счетам данной МО (рис. </w:t>
      </w:r>
      <w:r>
        <w:fldChar w:fldCharType="begin"/>
      </w:r>
      <w:r>
        <w:instrText xml:space="preserve"> REF  _Ref154566918 \h\#\0   \* MERGEFORMAT </w:instrText>
      </w:r>
      <w:r>
        <w:fldChar w:fldCharType="separate"/>
      </w:r>
      <w:r>
        <w:t>156</w:t>
      </w:r>
      <w:r>
        <w:fldChar w:fldCharType="end"/>
      </w:r>
      <w:r>
        <w:t>).</w:t>
      </w:r>
    </w:p>
    <w:p w14:paraId="70205D0C">
      <w:pPr>
        <w:pStyle w:val="48"/>
      </w:pPr>
      <w:r>
        <w:drawing>
          <wp:inline distT="0" distB="0" distL="0" distR="0">
            <wp:extent cx="6115685" cy="3295650"/>
            <wp:effectExtent l="19050" t="19050" r="18415" b="19050"/>
            <wp:docPr id="174361280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12803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2956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28C981">
      <w:pPr>
        <w:pStyle w:val="49"/>
      </w:pPr>
      <w:bookmarkStart w:id="660" w:name="_Ref1545669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156</w:t>
      </w:r>
      <w:r>
        <w:fldChar w:fldCharType="end"/>
      </w:r>
      <w:bookmarkEnd w:id="660"/>
      <w:r>
        <w:t xml:space="preserve"> — Экспертизы. Основное окно со списком созданных экспертиз</w:t>
      </w:r>
    </w:p>
    <w:p w14:paraId="10C734FB">
      <w:pPr>
        <w:pStyle w:val="44"/>
      </w:pPr>
      <w:r>
        <w:t>В информационной строке отображается наименование списка и количество записей.</w:t>
      </w:r>
    </w:p>
    <w:p w14:paraId="45482FDD">
      <w:pPr>
        <w:pStyle w:val="44"/>
      </w:pPr>
      <w:r>
        <w:t>Табличная часть содержит следующие столбцы, отображающие основные сведения об экспертизе:</w:t>
      </w:r>
    </w:p>
    <w:p w14:paraId="7D611157">
      <w:pPr>
        <w:pStyle w:val="51"/>
        <w:rPr>
          <w:lang w:eastAsia="en-US"/>
        </w:rPr>
      </w:pPr>
      <w:r>
        <w:rPr>
          <w:lang w:eastAsia="en-US"/>
        </w:rPr>
        <w:t>поле выбора элемента списка (записи экспертизы);</w:t>
      </w:r>
    </w:p>
    <w:p w14:paraId="0FE33191">
      <w:pPr>
        <w:pStyle w:val="51"/>
        <w:rPr>
          <w:lang w:eastAsia="en-US"/>
        </w:rPr>
      </w:pPr>
      <w:r>
        <w:rPr>
          <w:lang w:eastAsia="en-US"/>
        </w:rPr>
        <w:t>«Этап контроля» — этап экспертизы: медико-экономическая экспертиза или экспертиза качества медицинской помощи;</w:t>
      </w:r>
    </w:p>
    <w:p w14:paraId="19F13E00">
      <w:pPr>
        <w:pStyle w:val="51"/>
        <w:rPr>
          <w:lang w:eastAsia="en-US"/>
        </w:rPr>
      </w:pPr>
      <w:r>
        <w:rPr>
          <w:lang w:eastAsia="en-US"/>
        </w:rPr>
        <w:t>«Подэтап» — подвид этапа контроля: плановая, внеплановая, тематическая, целевая, повторная;</w:t>
      </w:r>
    </w:p>
    <w:p w14:paraId="56E453ED">
      <w:pPr>
        <w:pStyle w:val="51"/>
        <w:rPr>
          <w:lang w:eastAsia="en-US"/>
        </w:rPr>
      </w:pPr>
      <w:r>
        <w:rPr>
          <w:lang w:eastAsia="en-US"/>
        </w:rPr>
        <w:t>«Вид экспертизы» — вид экспертизы согласно классификатору видов контроля;</w:t>
      </w:r>
    </w:p>
    <w:p w14:paraId="10748158">
      <w:pPr>
        <w:pStyle w:val="51"/>
        <w:rPr>
          <w:lang w:eastAsia="en-US"/>
        </w:rPr>
      </w:pPr>
      <w:r>
        <w:rPr>
          <w:lang w:eastAsia="en-US"/>
        </w:rPr>
        <w:t>«Эксперт» — фамилия, имя и отчество эксперта, проводящего экспертизу;</w:t>
      </w:r>
    </w:p>
    <w:p w14:paraId="6092C311">
      <w:pPr>
        <w:pStyle w:val="51"/>
        <w:rPr>
          <w:lang w:eastAsia="en-US"/>
        </w:rPr>
      </w:pPr>
      <w:r>
        <w:rPr>
          <w:lang w:eastAsia="en-US"/>
        </w:rPr>
        <w:t>«МО» — краткое наименование медицинской организации;</w:t>
      </w:r>
    </w:p>
    <w:p w14:paraId="7952428E">
      <w:pPr>
        <w:pStyle w:val="51"/>
        <w:rPr>
          <w:lang w:eastAsia="en-US"/>
        </w:rPr>
      </w:pPr>
      <w:r>
        <w:rPr>
          <w:lang w:eastAsia="en-US"/>
        </w:rPr>
        <w:t>«Плательщик» — краткое наименование плательщика;</w:t>
      </w:r>
    </w:p>
    <w:p w14:paraId="63D04A8E">
      <w:pPr>
        <w:pStyle w:val="51"/>
        <w:rPr>
          <w:lang w:eastAsia="en-US"/>
        </w:rPr>
      </w:pPr>
      <w:r>
        <w:rPr>
          <w:lang w:eastAsia="en-US"/>
        </w:rPr>
        <w:t>«Начало экспертизы» — дата начала проведения экспертизы в формате дд.мм.гггг;</w:t>
      </w:r>
    </w:p>
    <w:p w14:paraId="48C904EC">
      <w:pPr>
        <w:pStyle w:val="51"/>
        <w:rPr>
          <w:lang w:eastAsia="en-US"/>
        </w:rPr>
      </w:pPr>
      <w:r>
        <w:rPr>
          <w:lang w:eastAsia="en-US"/>
        </w:rPr>
        <w:t>«Окончание экспертизы» — дата окончания проведения экспертизы в формате дд.мм.гггг;</w:t>
      </w:r>
    </w:p>
    <w:p w14:paraId="62CEBBAE">
      <w:pPr>
        <w:pStyle w:val="51"/>
        <w:rPr>
          <w:lang w:eastAsia="en-US"/>
        </w:rPr>
      </w:pPr>
      <w:r>
        <w:rPr>
          <w:lang w:eastAsia="en-US"/>
        </w:rPr>
        <w:t xml:space="preserve">«Статус» — текущее состояние экспертизы (описание см. в таблице </w:t>
      </w:r>
      <w:r>
        <w:fldChar w:fldCharType="begin"/>
      </w:r>
      <w:r>
        <w:instrText xml:space="preserve"> REF  _Ref154563546 \h\#\0   \* MERGEFORMAT </w:instrText>
      </w:r>
      <w:r>
        <w:fldChar w:fldCharType="separate"/>
      </w:r>
      <w:r>
        <w:t>4</w:t>
      </w:r>
      <w:r>
        <w:fldChar w:fldCharType="end"/>
      </w:r>
      <w:r>
        <w:rPr>
          <w:lang w:eastAsia="en-US"/>
        </w:rPr>
        <w:t>);</w:t>
      </w:r>
    </w:p>
    <w:p w14:paraId="3002FC45">
      <w:pPr>
        <w:pStyle w:val="51"/>
        <w:rPr>
          <w:lang w:eastAsia="en-US"/>
        </w:rPr>
      </w:pPr>
      <w:r>
        <w:rPr>
          <w:lang w:eastAsia="en-US"/>
        </w:rPr>
        <w:t>«Кол-во ЗС» — количество законченных случаев, включенных в экспертизу;</w:t>
      </w:r>
    </w:p>
    <w:p w14:paraId="7D94B8C8">
      <w:pPr>
        <w:pStyle w:val="51"/>
        <w:rPr>
          <w:lang w:eastAsia="en-US"/>
        </w:rPr>
      </w:pPr>
      <w:r>
        <w:rPr>
          <w:lang w:eastAsia="en-US"/>
        </w:rPr>
        <w:t>«Кол-во док-тов» — количество созданных (опубликованных) документов.</w:t>
      </w:r>
    </w:p>
    <w:p w14:paraId="4D81C911">
      <w:pPr>
        <w:pStyle w:val="79"/>
      </w:pPr>
      <w:bookmarkStart w:id="661" w:name="_Ref154563546"/>
      <w:r>
        <w:rPr>
          <w:rStyle w:val="47"/>
        </w:rP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4</w:t>
      </w:r>
      <w:r>
        <w:fldChar w:fldCharType="end"/>
      </w:r>
      <w:bookmarkEnd w:id="661"/>
      <w:r>
        <w:t xml:space="preserve"> — Статусы экспертизы</w:t>
      </w:r>
    </w:p>
    <w:tbl>
      <w:tblPr>
        <w:tblStyle w:val="3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993"/>
        <w:gridCol w:w="7700"/>
      </w:tblGrid>
      <w:tr w14:paraId="517C04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tblHeader/>
        </w:trPr>
        <w:tc>
          <w:tcPr>
            <w:tcW w:w="1028" w:type="pct"/>
            <w:tcBorders>
              <w:bottom w:val="double" w:color="auto" w:sz="4" w:space="0"/>
            </w:tcBorders>
            <w:vAlign w:val="center"/>
          </w:tcPr>
          <w:p w14:paraId="070B671F">
            <w:pPr>
              <w:pStyle w:val="53"/>
            </w:pPr>
            <w:r>
              <w:t>Статус</w:t>
            </w:r>
          </w:p>
        </w:tc>
        <w:tc>
          <w:tcPr>
            <w:tcW w:w="3972" w:type="pct"/>
            <w:tcBorders>
              <w:bottom w:val="double" w:color="auto" w:sz="4" w:space="0"/>
            </w:tcBorders>
            <w:vAlign w:val="center"/>
          </w:tcPr>
          <w:p w14:paraId="5B7FD0D9">
            <w:pPr>
              <w:pStyle w:val="53"/>
            </w:pPr>
            <w:r>
              <w:t>Описание</w:t>
            </w:r>
            <w:r>
              <w:rPr>
                <w:lang w:val="en-US"/>
              </w:rPr>
              <w:t xml:space="preserve"> </w:t>
            </w:r>
            <w:r>
              <w:t>текущего состояния</w:t>
            </w:r>
          </w:p>
        </w:tc>
      </w:tr>
      <w:tr w14:paraId="517760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1DCD2823">
            <w:pPr>
              <w:pStyle w:val="54"/>
            </w:pPr>
            <w:r>
              <w:t>Опубликована</w:t>
            </w:r>
          </w:p>
        </w:tc>
        <w:tc>
          <w:tcPr>
            <w:tcW w:w="3972" w:type="pct"/>
          </w:tcPr>
          <w:p w14:paraId="628989C6">
            <w:pPr>
              <w:pStyle w:val="54"/>
            </w:pPr>
            <w:r>
              <w:t>Экспертиза опубликована и доступна для просмотра участникам экспертизы</w:t>
            </w:r>
          </w:p>
        </w:tc>
      </w:tr>
      <w:tr w14:paraId="3C09C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6BC0B39A">
            <w:pPr>
              <w:pStyle w:val="54"/>
            </w:pPr>
            <w:r>
              <w:t>В работе</w:t>
            </w:r>
          </w:p>
        </w:tc>
        <w:tc>
          <w:tcPr>
            <w:tcW w:w="3972" w:type="pct"/>
          </w:tcPr>
          <w:p w14:paraId="5AB710BB">
            <w:pPr>
              <w:pStyle w:val="54"/>
            </w:pPr>
            <w:r>
              <w:t>Экспертиза принята экспертом в работу</w:t>
            </w:r>
          </w:p>
        </w:tc>
      </w:tr>
      <w:tr w14:paraId="4A28D2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5DC26CE8">
            <w:pPr>
              <w:pStyle w:val="54"/>
            </w:pPr>
            <w:r>
              <w:t>Завершена</w:t>
            </w:r>
          </w:p>
        </w:tc>
        <w:tc>
          <w:tcPr>
            <w:tcW w:w="3972" w:type="pct"/>
          </w:tcPr>
          <w:p w14:paraId="06D8E729">
            <w:pPr>
              <w:pStyle w:val="54"/>
            </w:pPr>
            <w:r>
              <w:t>Эксперт завершил работу над экспертизой. Выходные документы (заключение на законченный случай и заключение по результатам экспертизы) сформированы и опубликованы. Заключение по результатам экспертизы доступно для просмотра участникам экспертизы</w:t>
            </w:r>
          </w:p>
        </w:tc>
      </w:tr>
      <w:tr w14:paraId="33D33D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1B1DAB31">
            <w:pPr>
              <w:pStyle w:val="54"/>
            </w:pPr>
            <w:r>
              <w:t>На доработку</w:t>
            </w:r>
          </w:p>
        </w:tc>
        <w:tc>
          <w:tcPr>
            <w:tcW w:w="3972" w:type="pct"/>
          </w:tcPr>
          <w:p w14:paraId="5C3D397C">
            <w:pPr>
              <w:pStyle w:val="54"/>
            </w:pPr>
            <w:r>
              <w:t>Экспертиза направлена на доработку</w:t>
            </w:r>
          </w:p>
        </w:tc>
      </w:tr>
      <w:tr w14:paraId="60312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49E0216D">
            <w:pPr>
              <w:pStyle w:val="54"/>
            </w:pPr>
            <w:r>
              <w:t>Приостановлена</w:t>
            </w:r>
          </w:p>
        </w:tc>
        <w:tc>
          <w:tcPr>
            <w:tcW w:w="3972" w:type="pct"/>
          </w:tcPr>
          <w:p w14:paraId="366F2026">
            <w:pPr>
              <w:pStyle w:val="54"/>
            </w:pPr>
            <w:r>
              <w:t>Экспертиза приостановлена. Проведение экспертизы невозможно по независящим от эксперта причинам</w:t>
            </w:r>
          </w:p>
        </w:tc>
      </w:tr>
      <w:tr w14:paraId="52EEAD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59614ABE">
            <w:pPr>
              <w:pStyle w:val="54"/>
            </w:pPr>
            <w:r>
              <w:t>Закрыта</w:t>
            </w:r>
          </w:p>
        </w:tc>
        <w:tc>
          <w:tcPr>
            <w:tcW w:w="3972" w:type="pct"/>
          </w:tcPr>
          <w:p w14:paraId="047D388A">
            <w:pPr>
              <w:pStyle w:val="54"/>
            </w:pPr>
            <w:r>
              <w:t>Результаты экспертизы учтены в финальном ответе плательщика. Внесение изменений в запись экспертизы недоступно</w:t>
            </w:r>
          </w:p>
        </w:tc>
      </w:tr>
    </w:tbl>
    <w:p w14:paraId="29877C0A">
      <w:pPr>
        <w:pStyle w:val="44"/>
      </w:pPr>
    </w:p>
    <w:p w14:paraId="4DAE45DA">
      <w:pPr>
        <w:pStyle w:val="44"/>
      </w:pPr>
      <w:r>
        <w:t>Поиск экспертизы возможен как по общим признакам (этап контроля, вид экспертизы, эксперт, медицинская организация), так и по периодам (проведения экспертизы или рассматриваемому периоду).</w:t>
      </w:r>
    </w:p>
    <w:p w14:paraId="31BA9B35">
      <w:pPr>
        <w:pStyle w:val="44"/>
      </w:pPr>
      <w:r>
        <w:t>Для поиска экспертизы в панели фильтрации и поиска информации указать параметры поиска и нажать кнопку «Найти» (рис. </w:t>
      </w:r>
      <w:r>
        <w:fldChar w:fldCharType="begin"/>
      </w:r>
      <w:r>
        <w:instrText xml:space="preserve"> REF  _Ref154577652 \h\#\0   \* MERGEFORMAT </w:instrText>
      </w:r>
      <w:r>
        <w:fldChar w:fldCharType="separate"/>
      </w:r>
      <w:r>
        <w:t>157</w:t>
      </w:r>
      <w:r>
        <w:fldChar w:fldCharType="end"/>
      </w:r>
      <w:r>
        <w:t>).</w:t>
      </w:r>
    </w:p>
    <w:p w14:paraId="5EE10004">
      <w:pPr>
        <w:pStyle w:val="48"/>
        <w:rPr>
          <w:lang w:val="en-US"/>
        </w:rPr>
      </w:pPr>
      <w:r>
        <w:drawing>
          <wp:inline distT="0" distB="0" distL="0" distR="0">
            <wp:extent cx="2339975" cy="4625340"/>
            <wp:effectExtent l="19050" t="19050" r="22225" b="22860"/>
            <wp:docPr id="73388807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888072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462583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CA8965">
      <w:pPr>
        <w:pStyle w:val="49"/>
      </w:pPr>
      <w:bookmarkStart w:id="662" w:name="_Ref1545776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157</w:t>
      </w:r>
      <w:r>
        <w:fldChar w:fldCharType="end"/>
      </w:r>
      <w:bookmarkEnd w:id="662"/>
      <w:r>
        <w:t xml:space="preserve"> — Блок «Фильтр». Поиск экспертизы по параметрам</w:t>
      </w:r>
    </w:p>
    <w:p w14:paraId="0D05CFC5">
      <w:pPr>
        <w:pStyle w:val="44"/>
      </w:pPr>
      <w:r>
        <w:t>В рабочей области отобразятся результаты поиска, содержащие сведения об</w:t>
      </w:r>
      <w:r>
        <w:rPr>
          <w:lang w:val="en-US"/>
        </w:rPr>
        <w:t> </w:t>
      </w:r>
      <w:r>
        <w:t>экспертизах, соответствующих заданным критериям.</w:t>
      </w:r>
    </w:p>
    <w:p w14:paraId="5A7E33AC">
      <w:pPr>
        <w:pStyle w:val="44"/>
      </w:pPr>
      <w:r>
        <w:t xml:space="preserve">Для просмотра подробных сведений об экспертизе дважды нажать на строку записи экспертизы. Произойдет переход в карточку выбранной экспертизы (рис. </w:t>
      </w:r>
      <w:r>
        <w:fldChar w:fldCharType="begin"/>
      </w:r>
      <w:r>
        <w:instrText xml:space="preserve"> REF  _Ref149044216 \h\#\0   \* MERGEFORMAT </w:instrText>
      </w:r>
      <w:r>
        <w:fldChar w:fldCharType="separate"/>
      </w:r>
      <w:r>
        <w:t>158</w:t>
      </w:r>
      <w:r>
        <w:fldChar w:fldCharType="end"/>
      </w:r>
      <w:r>
        <w:t>).</w:t>
      </w:r>
    </w:p>
    <w:p w14:paraId="3B08ED2C">
      <w:pPr>
        <w:pStyle w:val="48"/>
      </w:pPr>
      <w:r>
        <w:drawing>
          <wp:inline distT="0" distB="0" distL="0" distR="0">
            <wp:extent cx="6119495" cy="2691765"/>
            <wp:effectExtent l="19050" t="19050" r="14605" b="13335"/>
            <wp:docPr id="1599520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520629" name="Рисунок 1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917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C67F80">
      <w:pPr>
        <w:pStyle w:val="49"/>
      </w:pPr>
      <w:bookmarkStart w:id="663" w:name="_Ref1490442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158</w:t>
      </w:r>
      <w:r>
        <w:fldChar w:fldCharType="end"/>
      </w:r>
      <w:bookmarkEnd w:id="663"/>
      <w:r>
        <w:t xml:space="preserve"> — Карточка экспертизы</w:t>
      </w:r>
    </w:p>
    <w:p w14:paraId="2C164EC8">
      <w:pPr>
        <w:pStyle w:val="44"/>
      </w:pPr>
      <w:r>
        <w:t>В карточке экспертизы в информационной строке отображается следующая информация:</w:t>
      </w:r>
    </w:p>
    <w:p w14:paraId="6ED91D1B">
      <w:pPr>
        <w:pStyle w:val="51"/>
      </w:pPr>
      <w:r>
        <w:t>наименование формы — «Экспертиза»;</w:t>
      </w:r>
    </w:p>
    <w:p w14:paraId="1A3E7578">
      <w:pPr>
        <w:pStyle w:val="51"/>
      </w:pPr>
      <w:r>
        <w:t>номер экспертизы;</w:t>
      </w:r>
    </w:p>
    <w:p w14:paraId="692D3C5B">
      <w:pPr>
        <w:pStyle w:val="51"/>
      </w:pPr>
      <w:r>
        <w:t>дата создания экспертизы;</w:t>
      </w:r>
    </w:p>
    <w:p w14:paraId="07715F01">
      <w:pPr>
        <w:pStyle w:val="51"/>
      </w:pPr>
      <w:r>
        <w:t>текущее состояние экспертизы.</w:t>
      </w:r>
    </w:p>
    <w:p w14:paraId="23566B14">
      <w:pPr>
        <w:pStyle w:val="44"/>
      </w:pPr>
      <w:r>
        <w:t>В блоке «Общие сведения» отображается основные реквизиты экспертизы:</w:t>
      </w:r>
    </w:p>
    <w:p w14:paraId="373D74B9">
      <w:pPr>
        <w:pStyle w:val="51"/>
      </w:pPr>
      <w:r>
        <w:t>«ИД» — идентификационный номер экспертизы в ФПУМП;</w:t>
      </w:r>
    </w:p>
    <w:p w14:paraId="4BB39FBE">
      <w:pPr>
        <w:pStyle w:val="51"/>
      </w:pPr>
      <w:r>
        <w:t>«Дата создания»;</w:t>
      </w:r>
    </w:p>
    <w:p w14:paraId="45042140">
      <w:pPr>
        <w:pStyle w:val="51"/>
      </w:pPr>
      <w:r>
        <w:t>«Статус» — текущее состояние экспертизы;</w:t>
      </w:r>
    </w:p>
    <w:p w14:paraId="4A7C7D4D">
      <w:pPr>
        <w:pStyle w:val="51"/>
      </w:pPr>
      <w:r>
        <w:t>«Этап контроля»;</w:t>
      </w:r>
    </w:p>
    <w:p w14:paraId="24DFBFC7">
      <w:pPr>
        <w:pStyle w:val="51"/>
      </w:pPr>
      <w:r>
        <w:t>«Вид экспертизы»;</w:t>
      </w:r>
    </w:p>
    <w:p w14:paraId="36CCEFBD">
      <w:pPr>
        <w:pStyle w:val="51"/>
      </w:pPr>
      <w:r>
        <w:t>«МО»;</w:t>
      </w:r>
    </w:p>
    <w:p w14:paraId="6F15F335">
      <w:pPr>
        <w:pStyle w:val="51"/>
      </w:pPr>
      <w:r>
        <w:t>«Эксперт» — фамилия, имя и отчество назначенного эксперта;</w:t>
      </w:r>
    </w:p>
    <w:p w14:paraId="216BF0E9">
      <w:pPr>
        <w:pStyle w:val="51"/>
      </w:pPr>
      <w:r>
        <w:t>«Специальность» — специальность эксперта</w:t>
      </w:r>
      <w:r>
        <w:rPr>
          <w:lang w:val="en-US"/>
        </w:rPr>
        <w:t>;</w:t>
      </w:r>
    </w:p>
    <w:p w14:paraId="38203862">
      <w:pPr>
        <w:pStyle w:val="51"/>
      </w:pPr>
      <w:r>
        <w:t>«Плательщик»;</w:t>
      </w:r>
    </w:p>
    <w:p w14:paraId="471FD274">
      <w:pPr>
        <w:pStyle w:val="51"/>
      </w:pPr>
      <w:r>
        <w:t>«Рассматрив. периоды» — даты начала и окончания рассматриваемого периода;</w:t>
      </w:r>
    </w:p>
    <w:p w14:paraId="2AD99797">
      <w:pPr>
        <w:pStyle w:val="51"/>
      </w:pPr>
      <w:r>
        <w:t>«Начало экспертизы» — дата начала проведения экспертизы;</w:t>
      </w:r>
    </w:p>
    <w:p w14:paraId="78994176">
      <w:pPr>
        <w:pStyle w:val="51"/>
      </w:pPr>
      <w:r>
        <w:t>«Окончание экспертизы» — дата окончания экспертизы;</w:t>
      </w:r>
    </w:p>
    <w:p w14:paraId="2A714241">
      <w:pPr>
        <w:pStyle w:val="51"/>
      </w:pPr>
      <w:r>
        <w:t xml:space="preserve">«Дата документа основания» — дата </w:t>
      </w:r>
      <w:bookmarkStart w:id="664" w:name="_Hlk150417488"/>
      <w:r>
        <w:t>документа, на основании которого проводится экспертиза</w:t>
      </w:r>
      <w:bookmarkEnd w:id="664"/>
      <w:r>
        <w:t>;</w:t>
      </w:r>
    </w:p>
    <w:p w14:paraId="56079127">
      <w:pPr>
        <w:pStyle w:val="51"/>
      </w:pPr>
      <w:r>
        <w:t>«Номер документа основания» — номер документа, на основании которого проводится экспертиза;</w:t>
      </w:r>
    </w:p>
    <w:p w14:paraId="7B586154">
      <w:pPr>
        <w:pStyle w:val="51"/>
      </w:pPr>
      <w:r>
        <w:t>«Наименование документа основания» — наименование документа, на основании которого проводится экспертиза;</w:t>
      </w:r>
    </w:p>
    <w:p w14:paraId="089ABD65">
      <w:pPr>
        <w:pStyle w:val="51"/>
      </w:pPr>
      <w:r>
        <w:t>«Направившая организация» — краткое наименование организации, инициирующей проведение экспертизы.</w:t>
      </w:r>
    </w:p>
    <w:p w14:paraId="484989C3">
      <w:pPr>
        <w:pStyle w:val="44"/>
      </w:pPr>
      <w:r>
        <w:t>В нижней части в блоке «СЭФД» отображается перечень СЭФД, которые были отобраны для проведения экспертизы.</w:t>
      </w:r>
    </w:p>
    <w:p w14:paraId="4836EC5C">
      <w:pPr>
        <w:pStyle w:val="44"/>
      </w:pPr>
      <w:r>
        <w:t>Табличная часть содержит следующие поля:</w:t>
      </w:r>
    </w:p>
    <w:p w14:paraId="548AB4A4">
      <w:pPr>
        <w:pStyle w:val="51"/>
      </w:pPr>
      <w:r>
        <w:t>поле выбора элемента списка;</w:t>
      </w:r>
    </w:p>
    <w:p w14:paraId="3E3D08AD">
      <w:pPr>
        <w:pStyle w:val="51"/>
      </w:pPr>
      <w:r>
        <w:t>«Случаи» — информация о случаях оказания МП в составе ЗС;</w:t>
      </w:r>
    </w:p>
    <w:p w14:paraId="7E165C2F">
      <w:pPr>
        <w:pStyle w:val="51"/>
      </w:pPr>
      <w:r>
        <w:t>«ИД» — идентификатор СЭФД;</w:t>
      </w:r>
    </w:p>
    <w:p w14:paraId="3ADB8451">
      <w:pPr>
        <w:pStyle w:val="51"/>
      </w:pPr>
      <w:r>
        <w:t>«Медкарта/ИБ» — номер медкарты/истории болезни;</w:t>
      </w:r>
    </w:p>
    <w:p w14:paraId="680C7777">
      <w:pPr>
        <w:pStyle w:val="51"/>
      </w:pPr>
      <w:r>
        <w:t>«ФИО пациента»;</w:t>
      </w:r>
    </w:p>
    <w:p w14:paraId="414FF529">
      <w:pPr>
        <w:pStyle w:val="51"/>
      </w:pPr>
      <w:r>
        <w:t>«Дата оконч. леч.» — дата окончания лечения;</w:t>
      </w:r>
    </w:p>
    <w:p w14:paraId="337CF312">
      <w:pPr>
        <w:pStyle w:val="51"/>
      </w:pPr>
      <w:r>
        <w:t>«Основной диагноз»;</w:t>
      </w:r>
    </w:p>
    <w:p w14:paraId="5B85D6D3">
      <w:pPr>
        <w:pStyle w:val="51"/>
      </w:pPr>
      <w:r>
        <w:t>«КМП» — сведения об ориентирах КМП;</w:t>
      </w:r>
    </w:p>
    <w:p w14:paraId="69FC2801">
      <w:pPr>
        <w:pStyle w:val="51"/>
      </w:pPr>
      <w:r>
        <w:t>«№ направл. на эксп.» — номер направления на экспертизу;</w:t>
      </w:r>
    </w:p>
    <w:p w14:paraId="2EC9E781">
      <w:pPr>
        <w:pStyle w:val="51"/>
      </w:pPr>
      <w:r>
        <w:t>«Сумма СЭФД, руб»;</w:t>
      </w:r>
    </w:p>
    <w:p w14:paraId="03F8D722">
      <w:pPr>
        <w:pStyle w:val="51"/>
      </w:pPr>
      <w:r>
        <w:t>«Заключение».</w:t>
      </w:r>
    </w:p>
    <w:p w14:paraId="7C61E0E8">
      <w:pPr>
        <w:pStyle w:val="44"/>
      </w:pPr>
      <w:bookmarkStart w:id="665" w:name="_Hlk156389544"/>
      <w:r>
        <w:t xml:space="preserve">В блоке «Файлы» (рис. </w:t>
      </w:r>
      <w:r>
        <w:fldChar w:fldCharType="begin"/>
      </w:r>
      <w:r>
        <w:instrText xml:space="preserve"> REF  _Ref149732219 \h\#\0   \* MERGEFORMAT </w:instrText>
      </w:r>
      <w:r>
        <w:fldChar w:fldCharType="separate"/>
      </w:r>
      <w:r>
        <w:t>159</w:t>
      </w:r>
      <w:r>
        <w:fldChar w:fldCharType="end"/>
      </w:r>
      <w:r>
        <w:t>) отображаются документы, сформированные и опубликованные экспертом.</w:t>
      </w:r>
    </w:p>
    <w:p w14:paraId="51FE0EE7">
      <w:pPr>
        <w:pStyle w:val="48"/>
      </w:pPr>
      <w:r>
        <w:drawing>
          <wp:inline distT="0" distB="0" distL="0" distR="0">
            <wp:extent cx="6119495" cy="1477010"/>
            <wp:effectExtent l="19050" t="19050" r="14605" b="27940"/>
            <wp:docPr id="17737751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775129" name="Рисунок 1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70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8EA00B">
      <w:pPr>
        <w:pStyle w:val="49"/>
      </w:pPr>
      <w:bookmarkStart w:id="666" w:name="_Ref149732219"/>
      <w:bookmarkStart w:id="667" w:name="_Hlk1504241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159</w:t>
      </w:r>
      <w:r>
        <w:fldChar w:fldCharType="end"/>
      </w:r>
      <w:bookmarkEnd w:id="666"/>
      <w:r>
        <w:t xml:space="preserve"> — Файлы. Уведомление</w:t>
      </w:r>
    </w:p>
    <w:bookmarkEnd w:id="665"/>
    <w:bookmarkEnd w:id="667"/>
    <w:p w14:paraId="6C9E7D97">
      <w:pPr>
        <w:pStyle w:val="39"/>
      </w:pPr>
      <w:bookmarkStart w:id="668" w:name="_Ref154570401"/>
      <w:bookmarkStart w:id="669" w:name="_Toc225871537"/>
      <w:r>
        <w:t>Просмотр уведомлений о проведении экспертизы</w:t>
      </w:r>
      <w:bookmarkEnd w:id="668"/>
      <w:bookmarkEnd w:id="669"/>
    </w:p>
    <w:p w14:paraId="4106043A">
      <w:pPr>
        <w:pStyle w:val="44"/>
      </w:pPr>
      <w:r>
        <w:t xml:space="preserve">Для просмотра уведомления скачать файл, нажав на ссылку в столбце «Ссылка на файл» в блоке «Файлы» карточки экспертизы (рис. </w:t>
      </w:r>
      <w:r>
        <w:fldChar w:fldCharType="begin"/>
      </w:r>
      <w:r>
        <w:instrText xml:space="preserve"> REF  _Ref225857899 \h \t \#\0 \* MERGEFORMAT </w:instrText>
      </w:r>
      <w:r>
        <w:fldChar w:fldCharType="separate"/>
      </w:r>
      <w:r>
        <w:t>160</w:t>
      </w:r>
      <w:r>
        <w:fldChar w:fldCharType="end"/>
      </w:r>
      <w:r>
        <w:t>).</w:t>
      </w:r>
    </w:p>
    <w:p w14:paraId="1EDCECA1">
      <w:pPr>
        <w:pStyle w:val="48"/>
      </w:pPr>
      <w:r>
        <w:drawing>
          <wp:inline distT="0" distB="0" distL="0" distR="0">
            <wp:extent cx="6119495" cy="3482975"/>
            <wp:effectExtent l="19050" t="19050" r="14605" b="22225"/>
            <wp:docPr id="17216191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619186" name="Рисунок 1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829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6EA1E0">
      <w:pPr>
        <w:pStyle w:val="49"/>
      </w:pPr>
      <w:bookmarkStart w:id="670" w:name="_Ref2258578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160</w:t>
      </w:r>
      <w:r>
        <w:fldChar w:fldCharType="end"/>
      </w:r>
      <w:r>
        <w:t xml:space="preserve"> — Карточка экспертизы. Получение уведомления о проведении экспертизы</w:t>
      </w:r>
      <w:bookmarkEnd w:id="670"/>
    </w:p>
    <w:p w14:paraId="17450185">
      <w:pPr>
        <w:pStyle w:val="44"/>
      </w:pPr>
      <w:r>
        <w:t xml:space="preserve">Пример уведомления о проведении экспертизы приведен на рисунке </w:t>
      </w:r>
      <w:r>
        <w:fldChar w:fldCharType="begin"/>
      </w:r>
      <w:r>
        <w:instrText xml:space="preserve"> REF  _Ref154424843 \h\#\0   \* MERGEFORMAT </w:instrText>
      </w:r>
      <w:r>
        <w:fldChar w:fldCharType="separate"/>
      </w:r>
      <w:r>
        <w:t>161</w:t>
      </w:r>
      <w:r>
        <w:fldChar w:fldCharType="end"/>
      </w:r>
      <w:r>
        <w:t>.</w:t>
      </w:r>
    </w:p>
    <w:p w14:paraId="4D5801F0">
      <w:pPr>
        <w:pStyle w:val="48"/>
      </w:pPr>
      <w:r>
        <w:drawing>
          <wp:inline distT="0" distB="0" distL="0" distR="0">
            <wp:extent cx="5399405" cy="6113145"/>
            <wp:effectExtent l="19050" t="19050" r="10795" b="20955"/>
            <wp:docPr id="207051190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51190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611371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44F3DFC">
      <w:pPr>
        <w:pStyle w:val="49"/>
      </w:pPr>
      <w:bookmarkStart w:id="671" w:name="_Ref15442484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161</w:t>
      </w:r>
      <w:r>
        <w:fldChar w:fldCharType="end"/>
      </w:r>
      <w:bookmarkEnd w:id="671"/>
      <w:r>
        <w:t xml:space="preserve"> — Пример уведомления о проведении экспертизы МЭЭ</w:t>
      </w:r>
    </w:p>
    <w:p w14:paraId="2F09D8AB">
      <w:pPr>
        <w:pStyle w:val="39"/>
      </w:pPr>
      <w:bookmarkStart w:id="672" w:name="_Ref154570245"/>
      <w:bookmarkStart w:id="673" w:name="_Toc225871538"/>
      <w:r>
        <w:rPr>
          <w:lang w:eastAsia="en-US"/>
        </w:rPr>
        <w:t>Просмотр заключения по результатам экспертизы</w:t>
      </w:r>
      <w:bookmarkEnd w:id="672"/>
      <w:bookmarkEnd w:id="673"/>
    </w:p>
    <w:p w14:paraId="27C9F615">
      <w:pPr>
        <w:pStyle w:val="44"/>
      </w:pPr>
      <w:r>
        <w:t>По результатам проведенной экспертизы эксперт выставляет на законченные случаи дефекты, на основании которых начисляются финансовые санкции: удержания (снятия) и штрафы, и формирует Заключение по результатам экспертизы по форме, предусмотренной Приказом Федерального фонда обязательного медицинского страхования от 19 сентября 2022 г. № 120н. После публикации Заключения экспертом оно становится доступно для просмотра участникам экспертизы в блоке «Файлы».</w:t>
      </w:r>
    </w:p>
    <w:p w14:paraId="09F254EE">
      <w:pPr>
        <w:pStyle w:val="44"/>
      </w:pPr>
      <w:r>
        <w:t xml:space="preserve">Для просмотра Заключения об экспертизе, нажать в столбце «Заключение» на «Просмотр». </w:t>
      </w:r>
      <w:bookmarkStart w:id="674" w:name="_Hlk156390841"/>
      <w:r>
        <w:t xml:space="preserve">В блоке вывода информации отобразится заключение об экспертизе. Примеры заключений приведены на рисунках </w:t>
      </w:r>
      <w:r>
        <w:fldChar w:fldCharType="begin"/>
      </w:r>
      <w:r>
        <w:instrText xml:space="preserve"> REF  _Ref149045786 \h\#\0   \* MERGEFORMAT </w:instrText>
      </w:r>
      <w:r>
        <w:fldChar w:fldCharType="separate"/>
      </w:r>
      <w:r>
        <w:t>162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_Ref154565878 \h\#\0   \* MERGEFORMAT </w:instrText>
      </w:r>
      <w:r>
        <w:fldChar w:fldCharType="separate"/>
      </w:r>
      <w:r>
        <w:t>163</w:t>
      </w:r>
      <w:r>
        <w:fldChar w:fldCharType="end"/>
      </w:r>
      <w:r>
        <w:t>.</w:t>
      </w:r>
    </w:p>
    <w:p w14:paraId="30B0E503">
      <w:pPr>
        <w:pStyle w:val="48"/>
      </w:pPr>
      <w:r>
        <w:drawing>
          <wp:inline distT="0" distB="0" distL="0" distR="0">
            <wp:extent cx="6119495" cy="2070735"/>
            <wp:effectExtent l="19050" t="19050" r="14605" b="24765"/>
            <wp:docPr id="3470924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092400" name="Рисунок 1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707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4E608F">
      <w:pPr>
        <w:pStyle w:val="49"/>
      </w:pPr>
      <w:bookmarkStart w:id="675" w:name="_Ref1490457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162</w:t>
      </w:r>
      <w:r>
        <w:fldChar w:fldCharType="end"/>
      </w:r>
      <w:bookmarkEnd w:id="675"/>
      <w:r>
        <w:t xml:space="preserve"> – Заключение МЭЭ</w:t>
      </w:r>
    </w:p>
    <w:p w14:paraId="12DB17D5">
      <w:pPr>
        <w:pStyle w:val="44"/>
      </w:pPr>
      <w:r>
        <w:t>Заключение МЭЭ в блоке «Общие сведения» содержит сведения о снятиях и штрафах.</w:t>
      </w:r>
    </w:p>
    <w:p w14:paraId="7A2DFD99">
      <w:pPr>
        <w:pStyle w:val="44"/>
      </w:pPr>
      <w:r>
        <w:t>В блоке «Список случаев СЭФД» отображаются следующие сведения:</w:t>
      </w:r>
    </w:p>
    <w:p w14:paraId="5166D1C3">
      <w:pPr>
        <w:pStyle w:val="51"/>
      </w:pPr>
      <w:r>
        <w:t>«Номер случая»;</w:t>
      </w:r>
    </w:p>
    <w:p w14:paraId="708A175B">
      <w:pPr>
        <w:pStyle w:val="51"/>
      </w:pPr>
      <w:r>
        <w:t>«Дата начала оказания МП»</w:t>
      </w:r>
      <w:r>
        <w:rPr>
          <w:lang w:val="en-US"/>
        </w:rPr>
        <w:t>;</w:t>
      </w:r>
    </w:p>
    <w:p w14:paraId="7CAEDF03">
      <w:pPr>
        <w:pStyle w:val="51"/>
      </w:pPr>
      <w:r>
        <w:t>«Дата окончания оказания МП»</w:t>
      </w:r>
      <w:r>
        <w:rPr>
          <w:lang w:val="en-US"/>
        </w:rPr>
        <w:t>;</w:t>
      </w:r>
    </w:p>
    <w:p w14:paraId="5BAE7817">
      <w:pPr>
        <w:pStyle w:val="51"/>
      </w:pPr>
      <w:r>
        <w:t>«Ошибка</w:t>
      </w:r>
      <w:r>
        <w:rPr>
          <w:lang w:val="en-US"/>
        </w:rPr>
        <w:t>;</w:t>
      </w:r>
    </w:p>
    <w:p w14:paraId="4F41E9E3">
      <w:pPr>
        <w:pStyle w:val="51"/>
      </w:pPr>
      <w:r>
        <w:t>«Основание»</w:t>
      </w:r>
      <w:r>
        <w:rPr>
          <w:lang w:val="en-US"/>
        </w:rPr>
        <w:t>;</w:t>
      </w:r>
    </w:p>
    <w:p w14:paraId="2E3F11D3">
      <w:pPr>
        <w:pStyle w:val="51"/>
      </w:pPr>
      <w:r>
        <w:t>«Снятия, руб»</w:t>
      </w:r>
      <w:r>
        <w:rPr>
          <w:lang w:val="en-US"/>
        </w:rPr>
        <w:t>;</w:t>
      </w:r>
    </w:p>
    <w:p w14:paraId="449B8FFD">
      <w:pPr>
        <w:pStyle w:val="51"/>
      </w:pPr>
      <w:r>
        <w:t>«Штрафы, руб».</w:t>
      </w:r>
    </w:p>
    <w:p w14:paraId="7DFE905F">
      <w:pPr>
        <w:pStyle w:val="48"/>
      </w:pPr>
      <w:r>
        <w:drawing>
          <wp:inline distT="0" distB="0" distL="0" distR="0">
            <wp:extent cx="6119495" cy="3750945"/>
            <wp:effectExtent l="19050" t="19050" r="14605" b="20955"/>
            <wp:docPr id="17910207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020788" name="Рисунок 1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509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29F58F1D">
      <w:pPr>
        <w:pStyle w:val="49"/>
      </w:pPr>
      <w:bookmarkStart w:id="676" w:name="_Ref1545658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163</w:t>
      </w:r>
      <w:r>
        <w:fldChar w:fldCharType="end"/>
      </w:r>
      <w:bookmarkEnd w:id="676"/>
      <w:r>
        <w:t xml:space="preserve"> — Заключение ЭКМП</w:t>
      </w:r>
    </w:p>
    <w:p w14:paraId="4C801617">
      <w:pPr>
        <w:pStyle w:val="44"/>
      </w:pPr>
      <w:r>
        <w:t>Заключение ЭКМП в блоке «Общие сведения» содержит сведения о снятиях и штрафах.</w:t>
      </w:r>
    </w:p>
    <w:p w14:paraId="513A9B23">
      <w:pPr>
        <w:pStyle w:val="44"/>
      </w:pPr>
      <w:r>
        <w:t>В блоке «Список случаев СЭФД» отображаются следующие сведения:</w:t>
      </w:r>
    </w:p>
    <w:p w14:paraId="505E768A">
      <w:pPr>
        <w:pStyle w:val="51"/>
      </w:pPr>
      <w:r>
        <w:t>«Номер случая»;</w:t>
      </w:r>
    </w:p>
    <w:p w14:paraId="52F66A64">
      <w:pPr>
        <w:pStyle w:val="51"/>
      </w:pPr>
      <w:r>
        <w:t>«Дата начала оказания МП»</w:t>
      </w:r>
      <w:r>
        <w:rPr>
          <w:lang w:val="en-US"/>
        </w:rPr>
        <w:t>;</w:t>
      </w:r>
    </w:p>
    <w:p w14:paraId="525C6B7F">
      <w:pPr>
        <w:pStyle w:val="51"/>
      </w:pPr>
      <w:r>
        <w:t>«Дата окончания оказания МП»</w:t>
      </w:r>
      <w:r>
        <w:rPr>
          <w:lang w:val="en-US"/>
        </w:rPr>
        <w:t>;</w:t>
      </w:r>
    </w:p>
    <w:p w14:paraId="3E94D9ED">
      <w:pPr>
        <w:pStyle w:val="51"/>
      </w:pPr>
      <w:r>
        <w:t>«Ошибка</w:t>
      </w:r>
      <w:r>
        <w:rPr>
          <w:lang w:val="en-US"/>
        </w:rPr>
        <w:t>;</w:t>
      </w:r>
    </w:p>
    <w:p w14:paraId="6F793D6D">
      <w:pPr>
        <w:pStyle w:val="51"/>
      </w:pPr>
      <w:r>
        <w:t>«Основание»</w:t>
      </w:r>
      <w:r>
        <w:rPr>
          <w:lang w:val="en-US"/>
        </w:rPr>
        <w:t>;</w:t>
      </w:r>
    </w:p>
    <w:p w14:paraId="193660C2">
      <w:pPr>
        <w:pStyle w:val="51"/>
      </w:pPr>
      <w:r>
        <w:t>«Снятия, руб»</w:t>
      </w:r>
      <w:r>
        <w:rPr>
          <w:lang w:val="en-US"/>
        </w:rPr>
        <w:t>;</w:t>
      </w:r>
    </w:p>
    <w:p w14:paraId="562AA427">
      <w:pPr>
        <w:pStyle w:val="51"/>
      </w:pPr>
      <w:r>
        <w:t>«Штрафы, руб».</w:t>
      </w:r>
    </w:p>
    <w:p w14:paraId="190B8F1D">
      <w:pPr>
        <w:pStyle w:val="44"/>
      </w:pPr>
      <w:r>
        <w:t>Блок «Финальный (клинический или патологоанатомический) диагноз, который выставил эксперт» содержит следующие сведения:</w:t>
      </w:r>
    </w:p>
    <w:p w14:paraId="6B7E11F7">
      <w:pPr>
        <w:pStyle w:val="51"/>
      </w:pPr>
      <w:r>
        <w:t>«Основной»;</w:t>
      </w:r>
    </w:p>
    <w:p w14:paraId="5E84270A">
      <w:pPr>
        <w:pStyle w:val="51"/>
        <w:rPr>
          <w:lang w:val="en-US"/>
        </w:rPr>
      </w:pPr>
      <w:r>
        <w:t>«Сопутствующий»</w:t>
      </w:r>
      <w:r>
        <w:rPr>
          <w:lang w:val="en-US"/>
        </w:rPr>
        <w:t>;</w:t>
      </w:r>
    </w:p>
    <w:p w14:paraId="0EDAA3A5">
      <w:pPr>
        <w:pStyle w:val="51"/>
      </w:pPr>
      <w:r>
        <w:t>«Осложнение».</w:t>
      </w:r>
    </w:p>
    <w:p w14:paraId="74C4B1D4">
      <w:pPr>
        <w:pStyle w:val="44"/>
      </w:pPr>
      <w:r>
        <w:t>Блок «Дополнительная информация» содержит следующие сведения:</w:t>
      </w:r>
    </w:p>
    <w:p w14:paraId="38E6F765">
      <w:pPr>
        <w:pStyle w:val="51"/>
      </w:pPr>
      <w:r>
        <w:t>«Преемственность»;</w:t>
      </w:r>
    </w:p>
    <w:p w14:paraId="0FADAE64">
      <w:pPr>
        <w:pStyle w:val="51"/>
      </w:pPr>
      <w:r>
        <w:t>«Указание наименования неотраженных в листе назначения рекомендаций»;</w:t>
      </w:r>
    </w:p>
    <w:p w14:paraId="1507FDDC">
      <w:pPr>
        <w:pStyle w:val="51"/>
      </w:pPr>
      <w:r>
        <w:t>«Оценка полноты выполнения рекомендаций национального медицинского исследовательского центра»;</w:t>
      </w:r>
    </w:p>
    <w:p w14:paraId="6EA297FE">
      <w:pPr>
        <w:pStyle w:val="51"/>
      </w:pPr>
      <w:r>
        <w:t>«Рекомендации, по которым констатировано неисполнение/неполное исполнение»;</w:t>
      </w:r>
    </w:p>
    <w:p w14:paraId="6EADD884">
      <w:pPr>
        <w:pStyle w:val="51"/>
      </w:pPr>
      <w:r>
        <w:t>«Выводы по ЗС»;</w:t>
      </w:r>
    </w:p>
    <w:p w14:paraId="1E5839DD">
      <w:pPr>
        <w:pStyle w:val="51"/>
      </w:pPr>
      <w:r>
        <w:t>«Рекомендации по ЗС»;</w:t>
      </w:r>
    </w:p>
    <w:p w14:paraId="39B09B24">
      <w:pPr>
        <w:pStyle w:val="51"/>
      </w:pPr>
      <w:r>
        <w:t>«Способ сбора информации»;</w:t>
      </w:r>
    </w:p>
    <w:p w14:paraId="473C9556">
      <w:pPr>
        <w:pStyle w:val="51"/>
      </w:pPr>
      <w:r>
        <w:t>«Наличие в медицинской документации рекомендаций медицинских работников национального медицинского исследовательского центра, данных при проведении консультаций/консилиумов с применением телемедицинских технологий»;</w:t>
      </w:r>
    </w:p>
    <w:p w14:paraId="7A39D53D">
      <w:pPr>
        <w:pStyle w:val="51"/>
      </w:pPr>
      <w:r>
        <w:t>«Наличие факта отражения рекомендаций в медицинской документации, в том числе в листе назначения»;</w:t>
      </w:r>
    </w:p>
    <w:p w14:paraId="17B66C90">
      <w:pPr>
        <w:pStyle w:val="51"/>
      </w:pPr>
      <w:r>
        <w:t>«Наличие в медицинской документации медицинских показаний, не позволяющих применить невнесенные в лист назначений рекомендации».</w:t>
      </w:r>
    </w:p>
    <w:p w14:paraId="4C6F9D43">
      <w:pPr>
        <w:pStyle w:val="44"/>
      </w:pPr>
      <w:r>
        <w:t xml:space="preserve">Чтобы скачать Заключение экспертизы, нажать на ссылку в столбце «Ссылка на файл». Пример Заключения приведен на рисунке </w:t>
      </w:r>
      <w:r>
        <w:fldChar w:fldCharType="begin"/>
      </w:r>
      <w:r>
        <w:instrText xml:space="preserve"> REF  _Ref154567809 \h\#\0   \* MERGEFORMAT </w:instrText>
      </w:r>
      <w:r>
        <w:fldChar w:fldCharType="separate"/>
      </w:r>
      <w:r>
        <w:t>164</w:t>
      </w:r>
      <w:r>
        <w:fldChar w:fldCharType="end"/>
      </w:r>
      <w:r>
        <w:t>.</w:t>
      </w:r>
    </w:p>
    <w:tbl>
      <w:tblPr>
        <w:tblStyle w:val="3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3"/>
      </w:tblGrid>
      <w:tr w14:paraId="01461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</w:tcPr>
          <w:p w14:paraId="70F10215">
            <w:pPr>
              <w:pStyle w:val="48"/>
            </w:pPr>
            <w:r>
              <w:drawing>
                <wp:inline distT="0" distB="0" distL="0" distR="0">
                  <wp:extent cx="5619115" cy="3048635"/>
                  <wp:effectExtent l="19050" t="19050" r="19685" b="18415"/>
                  <wp:docPr id="12777117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771176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148" cy="3058153"/>
                          </a:xfrm>
                          <a:prstGeom prst="rect">
                            <a:avLst/>
                          </a:prstGeom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9CB4C">
            <w:pPr>
              <w:pStyle w:val="48"/>
            </w:pPr>
            <w:r>
              <w:drawing>
                <wp:inline distT="0" distB="0" distL="0" distR="0">
                  <wp:extent cx="5621020" cy="1032510"/>
                  <wp:effectExtent l="19050" t="19050" r="17780" b="15240"/>
                  <wp:docPr id="63716389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163899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1272" cy="1039897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29238F">
            <w:pPr>
              <w:pStyle w:val="48"/>
            </w:pPr>
            <w:r>
              <w:drawing>
                <wp:inline distT="0" distB="0" distL="0" distR="0">
                  <wp:extent cx="5610860" cy="3854450"/>
                  <wp:effectExtent l="19050" t="19050" r="27940" b="12700"/>
                  <wp:docPr id="46047680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476802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5441" cy="3864860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74"/>
    </w:tbl>
    <w:p w14:paraId="7C6ED70D">
      <w:pPr>
        <w:pStyle w:val="49"/>
      </w:pPr>
      <w:bookmarkStart w:id="677" w:name="_Ref1545678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164</w:t>
      </w:r>
      <w:r>
        <w:fldChar w:fldCharType="end"/>
      </w:r>
      <w:bookmarkEnd w:id="677"/>
      <w:r>
        <w:t xml:space="preserve"> — Пример заключения по результатам МЭЭ</w:t>
      </w:r>
    </w:p>
    <w:bookmarkEnd w:id="658"/>
    <w:p w14:paraId="28988BB1">
      <w:pPr>
        <w:pStyle w:val="38"/>
      </w:pPr>
      <w:bookmarkStart w:id="678" w:name="_Toc142352962"/>
      <w:bookmarkEnd w:id="678"/>
      <w:bookmarkStart w:id="679" w:name="_Toc142357905"/>
      <w:bookmarkEnd w:id="679"/>
      <w:bookmarkStart w:id="680" w:name="_Toc142389688"/>
      <w:bookmarkEnd w:id="680"/>
      <w:bookmarkStart w:id="681" w:name="_Toc142389686"/>
      <w:bookmarkEnd w:id="681"/>
      <w:bookmarkStart w:id="682" w:name="_Toc142352957"/>
      <w:bookmarkEnd w:id="682"/>
      <w:bookmarkStart w:id="683" w:name="_Toc142061289"/>
      <w:bookmarkEnd w:id="683"/>
      <w:bookmarkStart w:id="684" w:name="_Toc142389683"/>
      <w:bookmarkEnd w:id="684"/>
      <w:bookmarkStart w:id="685" w:name="_Toc142357901"/>
      <w:bookmarkEnd w:id="685"/>
      <w:bookmarkStart w:id="686" w:name="_Toc142358061"/>
      <w:bookmarkEnd w:id="686"/>
      <w:bookmarkStart w:id="687" w:name="_Toc142297250"/>
      <w:bookmarkEnd w:id="687"/>
      <w:bookmarkStart w:id="688" w:name="_Toc142358060"/>
      <w:bookmarkEnd w:id="688"/>
      <w:bookmarkStart w:id="689" w:name="_Toc142357903"/>
      <w:bookmarkEnd w:id="689"/>
      <w:bookmarkStart w:id="690" w:name="_Toc142358062"/>
      <w:bookmarkEnd w:id="690"/>
      <w:bookmarkStart w:id="691" w:name="_Toc142297249"/>
      <w:bookmarkEnd w:id="691"/>
      <w:bookmarkStart w:id="692" w:name="_Toc142358063"/>
      <w:bookmarkEnd w:id="692"/>
      <w:bookmarkStart w:id="693" w:name="_Toc142389687"/>
      <w:bookmarkEnd w:id="693"/>
      <w:bookmarkStart w:id="694" w:name="_Toc142358065"/>
      <w:bookmarkEnd w:id="694"/>
      <w:bookmarkStart w:id="695" w:name="_Toc142352961"/>
      <w:bookmarkEnd w:id="695"/>
      <w:bookmarkStart w:id="696" w:name="_Toc142297248"/>
      <w:bookmarkEnd w:id="696"/>
      <w:bookmarkStart w:id="697" w:name="_Toc142357904"/>
      <w:bookmarkEnd w:id="697"/>
      <w:bookmarkStart w:id="698" w:name="_Toc142061294"/>
      <w:bookmarkEnd w:id="698"/>
      <w:bookmarkStart w:id="699" w:name="_Toc142358064"/>
      <w:bookmarkEnd w:id="699"/>
      <w:bookmarkStart w:id="700" w:name="_Toc142297253"/>
      <w:bookmarkEnd w:id="700"/>
      <w:bookmarkStart w:id="701" w:name="_Toc142061290"/>
      <w:bookmarkEnd w:id="701"/>
      <w:bookmarkStart w:id="702" w:name="_Toc142357902"/>
      <w:bookmarkEnd w:id="702"/>
      <w:bookmarkStart w:id="703" w:name="_Toc142352960"/>
      <w:bookmarkEnd w:id="703"/>
      <w:bookmarkStart w:id="704" w:name="_Toc142357900"/>
      <w:bookmarkEnd w:id="704"/>
      <w:bookmarkStart w:id="705" w:name="_Toc142352959"/>
      <w:bookmarkEnd w:id="705"/>
      <w:bookmarkStart w:id="706" w:name="_Toc142389685"/>
      <w:bookmarkEnd w:id="706"/>
      <w:bookmarkStart w:id="707" w:name="_Toc142352958"/>
      <w:bookmarkEnd w:id="707"/>
      <w:bookmarkStart w:id="708" w:name="_Toc142389684"/>
      <w:bookmarkEnd w:id="708"/>
      <w:bookmarkStart w:id="709" w:name="_Toc142061291"/>
      <w:bookmarkEnd w:id="709"/>
      <w:bookmarkStart w:id="710" w:name="_Toc142061292"/>
      <w:bookmarkEnd w:id="710"/>
      <w:bookmarkStart w:id="711" w:name="_Toc142297251"/>
      <w:bookmarkEnd w:id="711"/>
      <w:bookmarkStart w:id="712" w:name="_Toc142061293"/>
      <w:bookmarkEnd w:id="712"/>
      <w:bookmarkStart w:id="713" w:name="_Toc142297252"/>
      <w:bookmarkEnd w:id="713"/>
      <w:bookmarkStart w:id="714" w:name="_Toc98169662"/>
      <w:bookmarkStart w:id="715" w:name="_Toc131174722"/>
      <w:bookmarkStart w:id="716" w:name="_Ref142476967"/>
      <w:bookmarkStart w:id="717" w:name="_Toc225871539"/>
      <w:bookmarkStart w:id="718" w:name="_Toc149209670"/>
      <w:r>
        <w:t xml:space="preserve">Мониторинг плановых </w:t>
      </w:r>
      <w:bookmarkEnd w:id="714"/>
      <w:r>
        <w:t>и фактических показателей медицинской помощи</w:t>
      </w:r>
      <w:bookmarkEnd w:id="715"/>
      <w:bookmarkEnd w:id="716"/>
      <w:bookmarkEnd w:id="717"/>
      <w:bookmarkEnd w:id="718"/>
    </w:p>
    <w:p w14:paraId="7F33DFBC">
      <w:pPr>
        <w:pStyle w:val="39"/>
      </w:pPr>
      <w:bookmarkStart w:id="719" w:name="_Ref147163684"/>
      <w:bookmarkStart w:id="720" w:name="_Toc149209671"/>
      <w:bookmarkStart w:id="721" w:name="_Toc225871540"/>
      <w:r>
        <w:t>Просмотр годовых плановых объемов медицинской помощи</w:t>
      </w:r>
      <w:bookmarkEnd w:id="719"/>
      <w:bookmarkEnd w:id="720"/>
      <w:bookmarkEnd w:id="721"/>
    </w:p>
    <w:p w14:paraId="041B38B8">
      <w:pPr>
        <w:pStyle w:val="44"/>
      </w:pPr>
      <w:r>
        <w:t>После публикации ФОМС плановых годовых показателей медицинской помощи, утвержденные плановые объемы базовой программы ОМС МО ФГУ доступны медицинской организации для просмотра в разделе «Мониторинг».</w:t>
      </w:r>
    </w:p>
    <w:p w14:paraId="235BA36B">
      <w:pPr>
        <w:pStyle w:val="44"/>
      </w:pPr>
      <w:r>
        <w:t>Для перехода в раздел нажать в ленте главного меню вкладку «Мониторинг».</w:t>
      </w:r>
    </w:p>
    <w:p w14:paraId="0D98F8AC">
      <w:pPr>
        <w:pStyle w:val="44"/>
      </w:pPr>
      <w:r>
        <w:t xml:space="preserve">В рабочей области (рис. </w:t>
      </w:r>
      <w:r>
        <w:fldChar w:fldCharType="begin"/>
      </w:r>
      <w:r>
        <w:instrText xml:space="preserve"> REF  _Ref146613202 \h\#\0   \* MERGEFORMAT </w:instrText>
      </w:r>
      <w:r>
        <w:fldChar w:fldCharType="separate"/>
      </w:r>
      <w:r>
        <w:t>165</w:t>
      </w:r>
      <w:r>
        <w:fldChar w:fldCharType="end"/>
      </w:r>
      <w:r>
        <w:t>) по умолчанию отобразится подраздел «План», содержащий плановые показатели объемов федеральной базовой программы для МО на текущий год:</w:t>
      </w:r>
    </w:p>
    <w:p w14:paraId="408885D2">
      <w:pPr>
        <w:pStyle w:val="51"/>
      </w:pPr>
      <w:r>
        <w:t>объем медицинской помощи (количество единиц);</w:t>
      </w:r>
    </w:p>
    <w:p w14:paraId="5082B0FD">
      <w:pPr>
        <w:pStyle w:val="51"/>
      </w:pPr>
      <w:r>
        <w:t>объем финансового обеспечения (сумма в рублях).</w:t>
      </w:r>
    </w:p>
    <w:p w14:paraId="3C7DA74D">
      <w:pPr>
        <w:pStyle w:val="48"/>
      </w:pPr>
      <w:r>
        <w:drawing>
          <wp:inline distT="0" distB="0" distL="0" distR="0">
            <wp:extent cx="6119495" cy="2318385"/>
            <wp:effectExtent l="19050" t="19050" r="14605" b="24765"/>
            <wp:docPr id="7082398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239899" name="Рисунок 1"/>
                    <pic:cNvPicPr>
                      <a:picLocks noChangeAspect="1"/>
                    </pic:cNvPicPr>
                  </pic:nvPicPr>
                  <pic:blipFill>
                    <a:blip r:embed="rId200"/>
                    <a:srcRect b="2296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18633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A57848F">
      <w:pPr>
        <w:pStyle w:val="49"/>
      </w:pPr>
      <w:bookmarkStart w:id="722" w:name="_Ref1466132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165</w:t>
      </w:r>
      <w:r>
        <w:fldChar w:fldCharType="end"/>
      </w:r>
      <w:bookmarkEnd w:id="722"/>
      <w:r>
        <w:t xml:space="preserve"> — Шаблон утвержденных плановых годовых показателей. Опубликован ФОМС</w:t>
      </w:r>
    </w:p>
    <w:p w14:paraId="38DA9C8A">
      <w:pPr>
        <w:pStyle w:val="44"/>
      </w:pPr>
      <w:r>
        <w:t>В информационной строке отображаются следующие сведения:</w:t>
      </w:r>
    </w:p>
    <w:p w14:paraId="35B4322D">
      <w:pPr>
        <w:pStyle w:val="51"/>
      </w:pPr>
      <w:r>
        <w:t>наименование раздела — «Мониторинг»;</w:t>
      </w:r>
    </w:p>
    <w:p w14:paraId="5CF5AC3B">
      <w:pPr>
        <w:pStyle w:val="51"/>
      </w:pPr>
      <w:r>
        <w:t>наименование подраздела;</w:t>
      </w:r>
    </w:p>
    <w:p w14:paraId="57DD4300">
      <w:pPr>
        <w:pStyle w:val="51"/>
      </w:pPr>
      <w:r>
        <w:t>количество найденных записей;</w:t>
      </w:r>
    </w:p>
    <w:p w14:paraId="5E604298">
      <w:pPr>
        <w:pStyle w:val="51"/>
      </w:pPr>
      <w:r>
        <w:t xml:space="preserve">пиктограмма </w:t>
      </w:r>
      <w:r>
        <w:drawing>
          <wp:inline distT="0" distB="0" distL="0" distR="0">
            <wp:extent cx="161925" cy="171450"/>
            <wp:effectExtent l="19050" t="19050" r="28575" b="19050"/>
            <wp:docPr id="11386977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697777" name="Рисунок 1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«Информация»;</w:t>
      </w:r>
    </w:p>
    <w:p w14:paraId="0A33FC2C">
      <w:pPr>
        <w:pStyle w:val="51"/>
      </w:pPr>
      <w:bookmarkStart w:id="723" w:name="_Hlk183099406"/>
      <w:r>
        <w:t>Кв. план (при наличии).</w:t>
      </w:r>
      <w:bookmarkEnd w:id="723"/>
    </w:p>
    <w:p w14:paraId="5A8528C1">
      <w:pPr>
        <w:pStyle w:val="44"/>
      </w:pPr>
      <w:r>
        <w:t>Плановые показатели, опубликованные ФОМС, содержат следующие нередактируемые поля:</w:t>
      </w:r>
    </w:p>
    <w:p w14:paraId="417966E7">
      <w:pPr>
        <w:pStyle w:val="51"/>
      </w:pPr>
      <w:r>
        <w:t>поле выбора элемента списка;</w:t>
      </w:r>
    </w:p>
    <w:p w14:paraId="696D903F">
      <w:pPr>
        <w:pStyle w:val="51"/>
      </w:pPr>
      <w:r>
        <w:t>«МО» — наименование медицинской организации;</w:t>
      </w:r>
    </w:p>
    <w:p w14:paraId="2B43A30B">
      <w:pPr>
        <w:pStyle w:val="51"/>
      </w:pPr>
      <w:r>
        <w:t>«Базовая программа (всего, ед)» — годовой объем медицинской помощи согласно утвержденной федеральной базовой программе (количество единиц, случаев госпитализации или лечения);</w:t>
      </w:r>
    </w:p>
    <w:p w14:paraId="5CD2B4E3">
      <w:pPr>
        <w:pStyle w:val="51"/>
      </w:pPr>
      <w:r>
        <w:t>«Базовая программа (всего, руб)» — годовой объем финансового обеспечения согласно утвержденной федеральной базовой программе (в рублях);</w:t>
      </w:r>
    </w:p>
    <w:p w14:paraId="1A7244C7">
      <w:pPr>
        <w:pStyle w:val="51"/>
      </w:pPr>
      <w:r>
        <w:t>«Сверхбазовая программа (всего, ед)» — годовой объем по сверхбазовой программе (в единицах);</w:t>
      </w:r>
    </w:p>
    <w:p w14:paraId="2CC557BE">
      <w:pPr>
        <w:pStyle w:val="51"/>
      </w:pPr>
      <w:r>
        <w:t>«Сверхбазовая программа (всего, руб)» — годовой объем по сверхбазовой программе (в рублях);</w:t>
      </w:r>
    </w:p>
    <w:p w14:paraId="29C3D882">
      <w:pPr>
        <w:pStyle w:val="51"/>
      </w:pPr>
      <w:r>
        <w:t>«Протокол» — номер протокола тарифной комиссии, к которой относится данная запись;</w:t>
      </w:r>
    </w:p>
    <w:p w14:paraId="5955CDD0">
      <w:pPr>
        <w:pStyle w:val="51"/>
      </w:pPr>
      <w:r>
        <w:t>«Дата» — дата протокола тарифной комиссии в формате ДД.ММ.ГГГ;</w:t>
      </w:r>
    </w:p>
    <w:p w14:paraId="4BC5958E">
      <w:pPr>
        <w:pStyle w:val="51"/>
      </w:pPr>
      <w:r>
        <w:t>«Версия» — номер версии годовых плановых показателей (присваивается автоматически);</w:t>
      </w:r>
    </w:p>
    <w:p w14:paraId="76073F20">
      <w:pPr>
        <w:pStyle w:val="51"/>
      </w:pPr>
      <w:r>
        <w:t>«Статус» — текущее состояние плановых показателей. Возможные статусы:</w:t>
      </w:r>
    </w:p>
    <w:p w14:paraId="0F0DA6F7">
      <w:pPr>
        <w:pStyle w:val="77"/>
      </w:pPr>
      <w:r>
        <w:t>«Опубликован ФОМС»;</w:t>
      </w:r>
    </w:p>
    <w:p w14:paraId="19CAFA6B">
      <w:pPr>
        <w:pStyle w:val="77"/>
      </w:pPr>
      <w:r>
        <w:t>«Отозвано ФОМС»;</w:t>
      </w:r>
    </w:p>
    <w:p w14:paraId="1AF5A68D">
      <w:pPr>
        <w:pStyle w:val="77"/>
      </w:pPr>
      <w:r>
        <w:t>«Черновик МО»;</w:t>
      </w:r>
    </w:p>
    <w:p w14:paraId="5D03343B">
      <w:pPr>
        <w:pStyle w:val="77"/>
      </w:pPr>
      <w:r>
        <w:t>«Опубликован МО»;</w:t>
      </w:r>
    </w:p>
    <w:p w14:paraId="5EF7A06F">
      <w:pPr>
        <w:pStyle w:val="77"/>
      </w:pPr>
      <w:r>
        <w:t>«Отозван МО»;</w:t>
      </w:r>
    </w:p>
    <w:p w14:paraId="5CD2BCD5">
      <w:pPr>
        <w:pStyle w:val="77"/>
      </w:pPr>
      <w:r>
        <w:t>«Архив»;</w:t>
      </w:r>
    </w:p>
    <w:p w14:paraId="1BA3108C">
      <w:pPr>
        <w:pStyle w:val="51"/>
      </w:pPr>
      <w:r>
        <w:t>«Кв. план» — индикатор разрешения/запрета редактирования поквартального распределения плановых показателей. Значение «Разрешено» позволяет отозвать опубликованный квартальный план и внести изменения в режиме редактирования;</w:t>
      </w:r>
    </w:p>
    <w:p w14:paraId="59BE842E">
      <w:pPr>
        <w:pStyle w:val="51"/>
      </w:pPr>
      <w:r>
        <w:t>«Дата изменения статуса» — дата изменения статуса в формате дд.мм.гггг;</w:t>
      </w:r>
    </w:p>
    <w:p w14:paraId="7CE1B0D3">
      <w:pPr>
        <w:pStyle w:val="51"/>
      </w:pPr>
      <w:r>
        <w:t xml:space="preserve">«Распределение» — индикатор наличия ошибок при поквартальном распределении плановых показателей. </w:t>
      </w:r>
      <w:bookmarkStart w:id="724" w:name="_Hlk146720363"/>
      <w:r>
        <w:t>Возможные значения: «Да»/«Нет».</w:t>
      </w:r>
    </w:p>
    <w:p w14:paraId="1989C7FB">
      <w:pPr>
        <w:pStyle w:val="44"/>
      </w:pPr>
      <w:r>
        <w:t xml:space="preserve">При выделении строки записи с плановыми показателями </w:t>
      </w:r>
      <w:bookmarkStart w:id="725" w:name="_Hlk183101257"/>
      <w:r>
        <w:t xml:space="preserve">и наведении курсора на пиктограмму </w:t>
      </w:r>
      <w:r>
        <w:drawing>
          <wp:inline distT="0" distB="0" distL="0" distR="0">
            <wp:extent cx="161925" cy="171450"/>
            <wp:effectExtent l="19050" t="19050" r="28575" b="19050"/>
            <wp:docPr id="8349056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905623" name="Рисунок 1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 информационной строке </w:t>
      </w:r>
      <w:bookmarkEnd w:id="725"/>
      <w:r>
        <w:t xml:space="preserve">отображается всплывающее окно со сведениями о загруженном файле (рис. </w:t>
      </w:r>
      <w:r>
        <w:fldChar w:fldCharType="begin"/>
      </w:r>
      <w:r>
        <w:instrText xml:space="preserve"> REF  _Ref183098492 \h\#\0   \* MERGEFORMAT </w:instrText>
      </w:r>
      <w:r>
        <w:fldChar w:fldCharType="separate"/>
      </w:r>
      <w:r>
        <w:t>166</w:t>
      </w:r>
      <w:r>
        <w:fldChar w:fldCharType="end"/>
      </w:r>
      <w:r>
        <w:t>).</w:t>
      </w:r>
    </w:p>
    <w:p w14:paraId="55C99DAE">
      <w:pPr>
        <w:pStyle w:val="48"/>
      </w:pPr>
      <w:r>
        <w:drawing>
          <wp:inline distT="0" distB="0" distL="0" distR="0">
            <wp:extent cx="2519680" cy="1025525"/>
            <wp:effectExtent l="19050" t="19050" r="13970" b="22225"/>
            <wp:docPr id="133580689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806896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02610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B31093">
      <w:pPr>
        <w:pStyle w:val="49"/>
      </w:pPr>
      <w:bookmarkStart w:id="726" w:name="_Ref18309849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166</w:t>
      </w:r>
      <w:r>
        <w:fldChar w:fldCharType="end"/>
      </w:r>
      <w:bookmarkEnd w:id="726"/>
      <w:r>
        <w:t xml:space="preserve"> — Отображение сведений о версии файла с плановыми показателями</w:t>
      </w:r>
    </w:p>
    <w:bookmarkEnd w:id="724"/>
    <w:p w14:paraId="12FE1889">
      <w:pPr>
        <w:pStyle w:val="44"/>
      </w:pPr>
      <w:bookmarkStart w:id="727" w:name="_Hlk183101089"/>
      <w:r>
        <w:t>Всплывающее окно содержит сведения о версии файла в полях:</w:t>
      </w:r>
    </w:p>
    <w:p w14:paraId="390001B5">
      <w:pPr>
        <w:pStyle w:val="51"/>
      </w:pPr>
      <w:r>
        <w:t>«Версия файла»;</w:t>
      </w:r>
    </w:p>
    <w:p w14:paraId="504E5099">
      <w:pPr>
        <w:pStyle w:val="51"/>
      </w:pPr>
      <w:r>
        <w:t>«Создано»;</w:t>
      </w:r>
    </w:p>
    <w:p w14:paraId="6776E13C">
      <w:pPr>
        <w:pStyle w:val="51"/>
      </w:pPr>
      <w:r>
        <w:t>«Создатель»;</w:t>
      </w:r>
    </w:p>
    <w:p w14:paraId="56ABAAF7">
      <w:pPr>
        <w:pStyle w:val="51"/>
      </w:pPr>
      <w:r>
        <w:t>«Изменено»;</w:t>
      </w:r>
    </w:p>
    <w:p w14:paraId="12CA9C5A">
      <w:pPr>
        <w:pStyle w:val="51"/>
      </w:pPr>
      <w:r>
        <w:t>«Редактор»;</w:t>
      </w:r>
    </w:p>
    <w:p w14:paraId="2A6C4AB7">
      <w:pPr>
        <w:pStyle w:val="51"/>
      </w:pPr>
      <w:r>
        <w:t>«Поступление».</w:t>
      </w:r>
      <w:bookmarkEnd w:id="727"/>
    </w:p>
    <w:p w14:paraId="79497FDE">
      <w:pPr>
        <w:pStyle w:val="44"/>
      </w:pPr>
      <w:r>
        <w:t>Для просмотра квартального плана (распределенных поквартально плановых годовых показателей) выбрать строку с программой (базовой/сверхбазовой) и перейти по ссылке в форму распределения плановых показателей по выбранной программе, нажав в столбце «Базовая программа (всего, руб)» на значение суммы.</w:t>
      </w:r>
    </w:p>
    <w:p w14:paraId="13BB532C">
      <w:pPr>
        <w:pStyle w:val="79"/>
      </w:pPr>
      <w:r>
        <w:rPr>
          <w:rStyle w:val="47"/>
        </w:rP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5</w:t>
      </w:r>
      <w:r>
        <w:fldChar w:fldCharType="end"/>
      </w:r>
      <w:r>
        <w:t xml:space="preserve"> — Статусы плановых объемов медицинской помощи</w:t>
      </w:r>
    </w:p>
    <w:tbl>
      <w:tblPr>
        <w:tblStyle w:val="36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2149"/>
        <w:gridCol w:w="4352"/>
        <w:gridCol w:w="3249"/>
      </w:tblGrid>
      <w:tr w14:paraId="5940E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1102" w:type="pct"/>
            <w:tcBorders>
              <w:bottom w:val="double" w:color="auto" w:sz="4" w:space="0"/>
            </w:tcBorders>
            <w:vAlign w:val="center"/>
          </w:tcPr>
          <w:p w14:paraId="14728BA4">
            <w:pPr>
              <w:pStyle w:val="86"/>
            </w:pPr>
            <w:r>
              <w:t>Статус</w:t>
            </w:r>
          </w:p>
        </w:tc>
        <w:tc>
          <w:tcPr>
            <w:tcW w:w="2232" w:type="pct"/>
            <w:tcBorders>
              <w:bottom w:val="double" w:color="auto" w:sz="4" w:space="0"/>
            </w:tcBorders>
            <w:vAlign w:val="center"/>
          </w:tcPr>
          <w:p w14:paraId="0963BF17">
            <w:pPr>
              <w:pStyle w:val="86"/>
            </w:pPr>
            <w:r>
              <w:t>Описание</w:t>
            </w:r>
          </w:p>
        </w:tc>
        <w:tc>
          <w:tcPr>
            <w:tcW w:w="1666" w:type="pct"/>
            <w:tcBorders>
              <w:bottom w:val="double" w:color="auto" w:sz="4" w:space="0"/>
            </w:tcBorders>
            <w:vAlign w:val="center"/>
          </w:tcPr>
          <w:p w14:paraId="52A684C9">
            <w:pPr>
              <w:pStyle w:val="86"/>
            </w:pPr>
            <w:r>
              <w:t>Примечание</w:t>
            </w:r>
          </w:p>
        </w:tc>
      </w:tr>
      <w:tr w14:paraId="7E38F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2AABE705">
            <w:pPr>
              <w:pStyle w:val="88"/>
            </w:pPr>
            <w:r>
              <w:t>Опубликован ФОМС</w:t>
            </w:r>
          </w:p>
        </w:tc>
        <w:tc>
          <w:tcPr>
            <w:tcW w:w="2232" w:type="pct"/>
          </w:tcPr>
          <w:p w14:paraId="1FCA64D0">
            <w:pPr>
              <w:pStyle w:val="88"/>
            </w:pPr>
            <w:r>
              <w:t>После публикации ФОМС записи плановых годовых показателей</w:t>
            </w:r>
          </w:p>
        </w:tc>
        <w:tc>
          <w:tcPr>
            <w:tcW w:w="1666" w:type="pct"/>
          </w:tcPr>
          <w:p w14:paraId="328A49AB">
            <w:pPr>
              <w:pStyle w:val="88"/>
            </w:pPr>
            <w:r>
              <w:t>Доступен для распределения показателей оператором МО</w:t>
            </w:r>
          </w:p>
        </w:tc>
      </w:tr>
      <w:tr w14:paraId="367DE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698BECB4">
            <w:pPr>
              <w:pStyle w:val="88"/>
            </w:pPr>
            <w:r>
              <w:t>Отозвано ФОМС</w:t>
            </w:r>
          </w:p>
        </w:tc>
        <w:tc>
          <w:tcPr>
            <w:tcW w:w="2232" w:type="pct"/>
          </w:tcPr>
          <w:p w14:paraId="3804A81B">
            <w:pPr>
              <w:pStyle w:val="88"/>
            </w:pPr>
            <w:r>
              <w:t>В случае внесения корректив в годовые плановые показатели ФОМС. Отображается до публикации новой версии</w:t>
            </w:r>
          </w:p>
        </w:tc>
        <w:tc>
          <w:tcPr>
            <w:tcW w:w="1666" w:type="pct"/>
          </w:tcPr>
          <w:p w14:paraId="25B1F12C">
            <w:pPr>
              <w:pStyle w:val="88"/>
            </w:pPr>
            <w:r>
              <w:t>В случае отзыва версия 1 – статус «Отозвано ФОМС», сразу создается версия 2 — статус «Черновик», которая доступна МО для перераспределения квартальных планов, при значении «Разрешено» в столбце «Кв. план»</w:t>
            </w:r>
          </w:p>
        </w:tc>
      </w:tr>
      <w:tr w14:paraId="65352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16C32313">
            <w:pPr>
              <w:pStyle w:val="88"/>
            </w:pPr>
            <w:r>
              <w:t>Черновик МО</w:t>
            </w:r>
          </w:p>
        </w:tc>
        <w:tc>
          <w:tcPr>
            <w:tcW w:w="2232" w:type="pct"/>
          </w:tcPr>
          <w:p w14:paraId="5725495F">
            <w:pPr>
              <w:pStyle w:val="88"/>
            </w:pPr>
            <w:r>
              <w:t>Проставляется автоматически на новой версии поквартального распределения после отзыва предыдущей версии МО</w:t>
            </w:r>
          </w:p>
        </w:tc>
        <w:tc>
          <w:tcPr>
            <w:tcW w:w="1666" w:type="pct"/>
          </w:tcPr>
          <w:p w14:paraId="4C7CA790">
            <w:pPr>
              <w:pStyle w:val="88"/>
            </w:pPr>
            <w:r>
              <w:t>Доступно поквартальное распределение</w:t>
            </w:r>
          </w:p>
        </w:tc>
      </w:tr>
      <w:tr w14:paraId="391679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435764B7">
            <w:pPr>
              <w:pStyle w:val="88"/>
            </w:pPr>
            <w:r>
              <w:t>Опубликован МО</w:t>
            </w:r>
          </w:p>
        </w:tc>
        <w:tc>
          <w:tcPr>
            <w:tcW w:w="2232" w:type="pct"/>
          </w:tcPr>
          <w:p w14:paraId="0ABFA56A">
            <w:pPr>
              <w:pStyle w:val="88"/>
            </w:pPr>
            <w:r>
              <w:t>Проставляется автоматически после успешной публикации МО распределенных показателей по кварталам</w:t>
            </w:r>
          </w:p>
        </w:tc>
        <w:tc>
          <w:tcPr>
            <w:tcW w:w="1666" w:type="pct"/>
          </w:tcPr>
          <w:p w14:paraId="75397A51">
            <w:pPr>
              <w:pStyle w:val="88"/>
            </w:pPr>
            <w:r>
              <w:t>Доступен для просмотра ФОМС</w:t>
            </w:r>
          </w:p>
        </w:tc>
      </w:tr>
      <w:tr w14:paraId="15D12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2E2FAD4A">
            <w:pPr>
              <w:pStyle w:val="88"/>
            </w:pPr>
            <w:r>
              <w:t>Отозван МО</w:t>
            </w:r>
          </w:p>
        </w:tc>
        <w:tc>
          <w:tcPr>
            <w:tcW w:w="2232" w:type="pct"/>
          </w:tcPr>
          <w:p w14:paraId="7617AC1F">
            <w:pPr>
              <w:pStyle w:val="88"/>
            </w:pPr>
            <w:r>
              <w:t>Проставляется автоматически после отзыва оператором МО квартального плана для перераспределения плановых показателей (корректировка квартального плана)</w:t>
            </w:r>
          </w:p>
        </w:tc>
        <w:tc>
          <w:tcPr>
            <w:tcW w:w="1666" w:type="pct"/>
          </w:tcPr>
          <w:p w14:paraId="053322F7">
            <w:pPr>
              <w:pStyle w:val="88"/>
            </w:pPr>
            <w:r>
              <w:t>Только для опубликованных квартальных планов</w:t>
            </w:r>
          </w:p>
        </w:tc>
      </w:tr>
      <w:tr w14:paraId="5EC56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1102" w:type="pct"/>
          </w:tcPr>
          <w:p w14:paraId="12FAD3FF">
            <w:pPr>
              <w:pStyle w:val="88"/>
            </w:pPr>
            <w:r>
              <w:t>Архив</w:t>
            </w:r>
          </w:p>
        </w:tc>
        <w:tc>
          <w:tcPr>
            <w:tcW w:w="2232" w:type="pct"/>
          </w:tcPr>
          <w:p w14:paraId="3BA388DF">
            <w:pPr>
              <w:pStyle w:val="88"/>
            </w:pPr>
            <w:r>
              <w:t>Проставляется автоматически после закрытия отчетного года (10 января года, следующего за годом, к которому относится версия плановых показателей)</w:t>
            </w:r>
          </w:p>
        </w:tc>
        <w:tc>
          <w:tcPr>
            <w:tcW w:w="1666" w:type="pct"/>
          </w:tcPr>
          <w:p w14:paraId="0BC6A570">
            <w:pPr>
              <w:pStyle w:val="88"/>
            </w:pPr>
            <w:r>
              <w:t>Недоступность редактирования плановых показателей</w:t>
            </w:r>
          </w:p>
        </w:tc>
      </w:tr>
    </w:tbl>
    <w:p w14:paraId="55DA42DC">
      <w:pPr>
        <w:pStyle w:val="44"/>
      </w:pPr>
    </w:p>
    <w:p w14:paraId="3143E7C9">
      <w:pPr>
        <w:pStyle w:val="39"/>
      </w:pPr>
      <w:bookmarkStart w:id="728" w:name="_Ref147163693"/>
      <w:bookmarkStart w:id="729" w:name="_Toc149209672"/>
      <w:bookmarkStart w:id="730" w:name="_Toc225871541"/>
      <w:r>
        <w:t>Поквартальное распределение годовых плановых показателей медицинской помощи</w:t>
      </w:r>
      <w:bookmarkEnd w:id="728"/>
      <w:bookmarkEnd w:id="729"/>
      <w:bookmarkEnd w:id="730"/>
    </w:p>
    <w:p w14:paraId="151FD926">
      <w:pPr>
        <w:pStyle w:val="44"/>
      </w:pPr>
      <w:r>
        <w:t>Распределение годовых плановых показателей медицинской помощи по кварталам выполняется по желанию МО и не влияет на процесс приема счетов.</w:t>
      </w:r>
    </w:p>
    <w:p w14:paraId="01DA3317">
      <w:pPr>
        <w:pStyle w:val="44"/>
      </w:pPr>
      <w:r>
        <w:t xml:space="preserve">Для формирования квартального плана необходимо в подразделе «План» раздела «Мониторинг» перейти в форму распределения плановых показателей, нажав ссылку в столбце «Базовая программа (всего, руб)» или «Сверхбазовая программа (всего, руб)» (см. рис. </w:t>
      </w:r>
      <w:r>
        <w:fldChar w:fldCharType="begin"/>
      </w:r>
      <w:r>
        <w:instrText xml:space="preserve"> REF  _Ref146613202 \h\#\0   \* MERGEFORMAT </w:instrText>
      </w:r>
      <w:r>
        <w:fldChar w:fldCharType="separate"/>
      </w:r>
      <w:r>
        <w:t>165</w:t>
      </w:r>
      <w:r>
        <w:fldChar w:fldCharType="end"/>
      </w:r>
      <w:r>
        <w:t>).</w:t>
      </w:r>
    </w:p>
    <w:p w14:paraId="2AE6BA3F">
      <w:pPr>
        <w:pStyle w:val="44"/>
      </w:pPr>
      <w:r>
        <w:t>В рабочей области отобразится форма распределения плановых показателей в разрезе кодов медицинской классификации</w:t>
      </w:r>
      <w:r>
        <w:rPr>
          <w:rStyle w:val="14"/>
        </w:rPr>
        <w:footnoteReference w:id="4"/>
      </w:r>
      <w:r>
        <w:t xml:space="preserve"> (КМК) (рис. </w:t>
      </w:r>
      <w:r>
        <w:fldChar w:fldCharType="begin"/>
      </w:r>
      <w:r>
        <w:instrText xml:space="preserve"> REF  _Ref146612971 \h\#\0   \* MERGEFORMAT </w:instrText>
      </w:r>
      <w:r>
        <w:fldChar w:fldCharType="separate"/>
      </w:r>
      <w:r>
        <w:t>167</w:t>
      </w:r>
      <w:r>
        <w:fldChar w:fldCharType="end"/>
      </w:r>
      <w:r>
        <w:t>).</w:t>
      </w:r>
    </w:p>
    <w:p w14:paraId="40A21169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6119495" cy="2516505"/>
            <wp:effectExtent l="19050" t="19050" r="14605" b="17145"/>
            <wp:docPr id="8801248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124835" name="Рисунок 1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165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9B2A28C">
      <w:pPr>
        <w:pStyle w:val="49"/>
      </w:pPr>
      <w:bookmarkStart w:id="731" w:name="_Ref14661297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167</w:t>
      </w:r>
      <w:r>
        <w:fldChar w:fldCharType="end"/>
      </w:r>
      <w:bookmarkEnd w:id="731"/>
      <w:r>
        <w:t xml:space="preserve"> — Раздел «Мониторинг». Форма распределения плановых показателей. Базовая программа</w:t>
      </w:r>
    </w:p>
    <w:p w14:paraId="2512906E">
      <w:pPr>
        <w:pStyle w:val="44"/>
      </w:pPr>
      <w:r>
        <w:t>Табличная часть формы распределения показателей содержит следующие столбцы:</w:t>
      </w:r>
    </w:p>
    <w:p w14:paraId="543B8EF2">
      <w:pPr>
        <w:pStyle w:val="51"/>
      </w:pPr>
      <w:r>
        <w:t>поле выбора элемента списка;</w:t>
      </w:r>
    </w:p>
    <w:p w14:paraId="0BE7C298">
      <w:pPr>
        <w:pStyle w:val="51"/>
      </w:pPr>
      <w:r>
        <w:t>«Код» — код показателя согласно КМК. Иерархическая структура включает код условий оказания медицинской помощи, код группы профилей оказания медицинской помощи и код внутренней группировки профиля;</w:t>
      </w:r>
    </w:p>
    <w:p w14:paraId="5520EB2D">
      <w:pPr>
        <w:pStyle w:val="51"/>
      </w:pPr>
      <w:r>
        <w:t>«Наименование» — краткое наименование показателя согласно КМК. Иерархическая структура показателей включает наименование условий оказания медицинской помощи, наименование профиля оказания медицинской помощи с учетом внутренней группировки профиля;</w:t>
      </w:r>
    </w:p>
    <w:p w14:paraId="6AEB12C2">
      <w:pPr>
        <w:pStyle w:val="51"/>
      </w:pPr>
      <w:r>
        <w:t xml:space="preserve">«Кол-во (год)» — </w:t>
      </w:r>
      <w:bookmarkStart w:id="732" w:name="_Hlk146713360"/>
      <w:bookmarkStart w:id="733" w:name="_Hlk146712949"/>
      <w:bookmarkStart w:id="734" w:name="_Hlk146719569"/>
      <w:r>
        <w:t xml:space="preserve">объем медицинской помощи </w:t>
      </w:r>
      <w:bookmarkEnd w:id="732"/>
      <w:r>
        <w:t xml:space="preserve">годовой (количество единиц, случаев госпитализации или лечения), </w:t>
      </w:r>
      <w:bookmarkEnd w:id="733"/>
      <w:r>
        <w:t>утвержден и опубликован ФОМС, нередактируемое поле;</w:t>
      </w:r>
      <w:bookmarkEnd w:id="734"/>
    </w:p>
    <w:p w14:paraId="573B8E84">
      <w:pPr>
        <w:pStyle w:val="51"/>
      </w:pPr>
      <w:r>
        <w:t>«Кол-во (остаток)» — нераспределенный объем медицинской помощи (остаток при распределении, количество единиц), автоматически вычисляемое значение;</w:t>
      </w:r>
    </w:p>
    <w:p w14:paraId="22D7497A">
      <w:pPr>
        <w:pStyle w:val="51"/>
      </w:pPr>
      <w:r>
        <w:t>«Кол-во (</w:t>
      </w:r>
      <w:r>
        <w:rPr>
          <w:lang w:val="en-US"/>
        </w:rPr>
        <w:t>I</w:t>
      </w:r>
      <w:r>
        <w:t xml:space="preserve"> квартал)», «Кол-во (</w:t>
      </w:r>
      <w:r>
        <w:rPr>
          <w:lang w:val="en-US"/>
        </w:rPr>
        <w:t>II</w:t>
      </w:r>
      <w:r>
        <w:t xml:space="preserve"> квартал)», «Кол-во (</w:t>
      </w:r>
      <w:r>
        <w:rPr>
          <w:lang w:val="en-US"/>
        </w:rPr>
        <w:t>III</w:t>
      </w:r>
      <w:r>
        <w:t xml:space="preserve"> квартал)», «Кол-во (</w:t>
      </w:r>
      <w:r>
        <w:rPr>
          <w:lang w:val="en-US"/>
        </w:rPr>
        <w:t>IV</w:t>
      </w:r>
      <w:r>
        <w:t> квартал)» — объем медицинской помощи поквартальный (количество единиц);</w:t>
      </w:r>
    </w:p>
    <w:p w14:paraId="382A99E6">
      <w:pPr>
        <w:pStyle w:val="51"/>
      </w:pPr>
      <w:r>
        <w:t>«Сумма (год), руб» — объем финансового обеспечения годовой (в рублях), утвержден и опубликован ФОМС, нередактируемое поле;</w:t>
      </w:r>
    </w:p>
    <w:p w14:paraId="555ED875">
      <w:pPr>
        <w:pStyle w:val="51"/>
      </w:pPr>
      <w:r>
        <w:t>«Сумма (остаток)» — нераспределенный объем финансового обеспечения (остаток при распределении, в рублях), автоматически вычисляемое значение;</w:t>
      </w:r>
    </w:p>
    <w:p w14:paraId="32A2DA6B">
      <w:pPr>
        <w:pStyle w:val="51"/>
      </w:pPr>
      <w:r>
        <w:t>«Сумма (</w:t>
      </w:r>
      <w:r>
        <w:rPr>
          <w:lang w:val="en-US"/>
        </w:rPr>
        <w:t>I</w:t>
      </w:r>
      <w:r>
        <w:t xml:space="preserve"> квартал), руб», «Сумма (</w:t>
      </w:r>
      <w:r>
        <w:rPr>
          <w:lang w:val="en-US"/>
        </w:rPr>
        <w:t>II</w:t>
      </w:r>
      <w:r>
        <w:t xml:space="preserve"> квартал), руб», «Сумма (</w:t>
      </w:r>
      <w:r>
        <w:rPr>
          <w:lang w:val="en-US"/>
        </w:rPr>
        <w:t>III</w:t>
      </w:r>
      <w:r>
        <w:t xml:space="preserve"> квартал), руб», «Сумма (</w:t>
      </w:r>
      <w:r>
        <w:rPr>
          <w:lang w:val="en-US"/>
        </w:rPr>
        <w:t>IV</w:t>
      </w:r>
      <w:r>
        <w:t xml:space="preserve"> квартал), руб» — объем финансового обеспечения поквартальный (в рублях).</w:t>
      </w:r>
    </w:p>
    <w:p w14:paraId="2CA21383">
      <w:pPr>
        <w:pStyle w:val="44"/>
      </w:pPr>
      <w:bookmarkStart w:id="735" w:name="_Toc131174725"/>
      <w:r>
        <w:t>Для формирования квартального плана распределить плановые годовые показатели объемов медицинской помощи и объемов финансового обеспечения по кварталам, указав значения в соответствующих столбцах.</w:t>
      </w:r>
    </w:p>
    <w:p w14:paraId="60D35DDB">
      <w:pPr>
        <w:pStyle w:val="44"/>
      </w:pPr>
      <w:r>
        <w:t xml:space="preserve">Распределение осуществляют построчно, вручную вводя значения после нажатия значка </w:t>
      </w:r>
      <w:r>
        <w:drawing>
          <wp:inline distT="0" distB="0" distL="0" distR="0">
            <wp:extent cx="215900" cy="233680"/>
            <wp:effectExtent l="19050" t="19050" r="12700" b="13970"/>
            <wp:docPr id="786980332" name="Рисунок 78698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980332" name="Рисунок 786980332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3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«Редактировать» в конце строки.</w:t>
      </w:r>
    </w:p>
    <w:p w14:paraId="27C48F86">
      <w:pPr>
        <w:pStyle w:val="44"/>
      </w:pPr>
      <w:r>
        <w:t xml:space="preserve">Чтобы сохранить внесенные сведения, нажать значок </w:t>
      </w:r>
      <w:r>
        <w:drawing>
          <wp:inline distT="0" distB="0" distL="0" distR="0">
            <wp:extent cx="191770" cy="179705"/>
            <wp:effectExtent l="19050" t="19050" r="17780" b="10795"/>
            <wp:docPr id="2290468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046896" name="Рисунок 1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92000" cy="18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«Сохранить» в конце строки — отображается после активации режима редактирования.</w:t>
      </w:r>
    </w:p>
    <w:p w14:paraId="3AC2CFE9">
      <w:pPr>
        <w:pStyle w:val="44"/>
      </w:pPr>
      <w:r>
        <w:t xml:space="preserve">В случае сохранения внесенных данных в области вывода уведомлений отобразится подтверждающее сообщение (рис. </w:t>
      </w:r>
      <w:r>
        <w:fldChar w:fldCharType="begin"/>
      </w:r>
      <w:r>
        <w:instrText xml:space="preserve"> REF  _Ref148713339 \h\#\0   \* MERGEFORMAT </w:instrText>
      </w:r>
      <w:r>
        <w:fldChar w:fldCharType="separate"/>
      </w:r>
      <w:r>
        <w:t>168</w:t>
      </w:r>
      <w:r>
        <w:fldChar w:fldCharType="end"/>
      </w:r>
      <w:r>
        <w:t>).</w:t>
      </w:r>
    </w:p>
    <w:p w14:paraId="5EAEFB61">
      <w:pPr>
        <w:pStyle w:val="48"/>
      </w:pPr>
      <w:r>
        <w:drawing>
          <wp:inline distT="0" distB="0" distL="0" distR="0">
            <wp:extent cx="2879725" cy="633730"/>
            <wp:effectExtent l="19050" t="19050" r="15875" b="13970"/>
            <wp:docPr id="17329123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912355" name="Рисунок 1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3378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EE9AFE">
      <w:pPr>
        <w:pStyle w:val="49"/>
      </w:pPr>
      <w:bookmarkStart w:id="736" w:name="_Ref1487133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168</w:t>
      </w:r>
      <w:r>
        <w:fldChar w:fldCharType="end"/>
      </w:r>
      <w:bookmarkEnd w:id="736"/>
      <w:r>
        <w:t xml:space="preserve"> — Сообщение об успешном наполнении квартального распределения </w:t>
      </w:r>
    </w:p>
    <w:p w14:paraId="51BCEB8C">
      <w:pPr>
        <w:pStyle w:val="44"/>
      </w:pPr>
      <w:r>
        <w:t>Критерием корректного поквартального распределения является отсутствие нераспределенных объемов годовых показателей в столбцах «Кол-во (остаток)» и «Сумма (остаток)», подсвеченных синим цветом. Значение остатка каждого показателя вычисляется автоматически при распределении и должно быть равно «0».</w:t>
      </w:r>
    </w:p>
    <w:p w14:paraId="57A53BA4">
      <w:pPr>
        <w:pStyle w:val="44"/>
      </w:pPr>
      <w:r>
        <w:t xml:space="preserve">Для возврата в раздел «Мониторинг» нажать на кнопку </w:t>
      </w:r>
      <w:r>
        <w:drawing>
          <wp:inline distT="0" distB="0" distL="0" distR="0">
            <wp:extent cx="287655" cy="237490"/>
            <wp:effectExtent l="19050" t="19050" r="17145" b="10160"/>
            <wp:docPr id="16708037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03719" name="Рисунок 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376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расположенную радом с наименованием программы (Базовая программа или Сверхбазовая программа) в левой верхней части экрана.</w:t>
      </w:r>
    </w:p>
    <w:bookmarkEnd w:id="735"/>
    <w:p w14:paraId="78EDDDFD">
      <w:pPr>
        <w:pStyle w:val="39"/>
      </w:pPr>
      <w:bookmarkStart w:id="737" w:name="_Toc131174726"/>
      <w:bookmarkStart w:id="738" w:name="_Toc98169665"/>
      <w:bookmarkStart w:id="739" w:name="_Ref146637527"/>
      <w:bookmarkStart w:id="740" w:name="_Ref147163849"/>
      <w:bookmarkStart w:id="741" w:name="_Toc225871542"/>
      <w:bookmarkStart w:id="742" w:name="_Toc149209673"/>
      <w:r>
        <w:t>Публикация распределенных плановых показателей</w:t>
      </w:r>
      <w:bookmarkEnd w:id="737"/>
      <w:bookmarkEnd w:id="738"/>
      <w:bookmarkEnd w:id="739"/>
      <w:bookmarkEnd w:id="740"/>
      <w:bookmarkEnd w:id="741"/>
      <w:bookmarkEnd w:id="742"/>
    </w:p>
    <w:p w14:paraId="586A23D3">
      <w:pPr>
        <w:pStyle w:val="44"/>
      </w:pPr>
      <w:r>
        <w:t>После окончания поквартального распределения плановых показателей необходимо выбрать запись, для которой установлена готовность для публикации поквартальных плановых показателей, и нажать кнопку «Опубликовать». При этом:</w:t>
      </w:r>
    </w:p>
    <w:p w14:paraId="7AED4BA9">
      <w:pPr>
        <w:pStyle w:val="51"/>
      </w:pPr>
      <w:r>
        <w:t xml:space="preserve">в случае корректного распределения показателей в области вывода уведомлений отобразится подтверждающее сообщение (рис. </w:t>
      </w:r>
      <w:r>
        <w:fldChar w:fldCharType="begin"/>
      </w:r>
      <w:r>
        <w:instrText xml:space="preserve"> REF  _Ref148714168 \h\#\0   \* MERGEFORMAT </w:instrText>
      </w:r>
      <w:r>
        <w:fldChar w:fldCharType="separate"/>
      </w:r>
      <w:r>
        <w:t>169</w:t>
      </w:r>
      <w:r>
        <w:fldChar w:fldCharType="end"/>
      </w:r>
      <w:r>
        <w:t>). Статус записи изменится на «Опубликован МО».</w:t>
      </w:r>
    </w:p>
    <w:p w14:paraId="7C7C95D1">
      <w:pPr>
        <w:pStyle w:val="48"/>
      </w:pPr>
      <w:r>
        <w:drawing>
          <wp:inline distT="0" distB="0" distL="0" distR="0">
            <wp:extent cx="2879725" cy="1931035"/>
            <wp:effectExtent l="19050" t="19050" r="15875" b="12065"/>
            <wp:docPr id="416163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16311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3129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8C63D8">
      <w:pPr>
        <w:pStyle w:val="49"/>
      </w:pPr>
      <w:bookmarkStart w:id="743" w:name="_Ref1487141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169</w:t>
      </w:r>
      <w:r>
        <w:fldChar w:fldCharType="end"/>
      </w:r>
      <w:bookmarkEnd w:id="743"/>
      <w:r>
        <w:t xml:space="preserve"> — Подтверждение успешной публикации квартального плана</w:t>
      </w:r>
    </w:p>
    <w:p w14:paraId="6EDF251D">
      <w:pPr>
        <w:pStyle w:val="51"/>
      </w:pPr>
      <w:r>
        <w:t xml:space="preserve">в ином случае отобразится сообщение об ошибке при публикации (рис. </w:t>
      </w:r>
      <w:r>
        <w:fldChar w:fldCharType="begin"/>
      </w:r>
      <w:r>
        <w:instrText xml:space="preserve"> REF  _Ref148714316 \h\#\0   \* MERGEFORMAT </w:instrText>
      </w:r>
      <w:r>
        <w:fldChar w:fldCharType="separate"/>
      </w:r>
      <w:r>
        <w:t>170</w:t>
      </w:r>
      <w:r>
        <w:fldChar w:fldCharType="end"/>
      </w:r>
      <w:r>
        <w:t>).</w:t>
      </w:r>
    </w:p>
    <w:p w14:paraId="019FCCF7">
      <w:pPr>
        <w:pStyle w:val="48"/>
      </w:pPr>
      <w:r>
        <w:drawing>
          <wp:inline distT="0" distB="0" distL="0" distR="0">
            <wp:extent cx="2879725" cy="866775"/>
            <wp:effectExtent l="19050" t="19050" r="15875" b="28575"/>
            <wp:docPr id="418955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5585" name="Рисунок 1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86723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86C3EB">
      <w:pPr>
        <w:pStyle w:val="49"/>
      </w:pPr>
      <w:bookmarkStart w:id="744" w:name="_Ref1487143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170</w:t>
      </w:r>
      <w:r>
        <w:fldChar w:fldCharType="end"/>
      </w:r>
      <w:bookmarkEnd w:id="744"/>
      <w:r>
        <w:t xml:space="preserve"> — Сообщение об ошибке при публикации квартального плана</w:t>
      </w:r>
    </w:p>
    <w:p w14:paraId="4F17044F">
      <w:pPr>
        <w:pStyle w:val="44"/>
      </w:pPr>
      <w:r>
        <w:t>При отображении сообщения об ошибке необходимо в режиме редактирования скорректировать распределенные показатели (см. </w:t>
      </w:r>
      <w:r>
        <w:fldChar w:fldCharType="begin"/>
      </w:r>
      <w:r>
        <w:instrText xml:space="preserve"> REF _Ref154676144 \n \h  \* MERGEFORMAT </w:instrText>
      </w:r>
      <w:r>
        <w:fldChar w:fldCharType="separate"/>
      </w:r>
      <w:r>
        <w:t>4.7.6</w:t>
      </w:r>
      <w:r>
        <w:fldChar w:fldCharType="end"/>
      </w:r>
      <w:r>
        <w:t>).</w:t>
      </w:r>
    </w:p>
    <w:p w14:paraId="410D2C42">
      <w:pPr>
        <w:pStyle w:val="39"/>
      </w:pPr>
      <w:bookmarkStart w:id="745" w:name="_Toc225871543"/>
      <w:r>
        <w:t>Контроль выполнения плановых объемов медицинской помощи</w:t>
      </w:r>
      <w:bookmarkEnd w:id="745"/>
    </w:p>
    <w:p w14:paraId="3167A67C">
      <w:pPr>
        <w:pStyle w:val="44"/>
      </w:pPr>
      <w:r>
        <w:t>На основании опубликованных плановых показателей при приемке выставленных к оплате счетов производится контроль объемов фактически оказанной медицинской помощи. В случае превышения, вышедшие за рамки установленных годовых объемов случаи медицинской помощи снимаются с оплаты (дефектуются) в рамках МЭК предьявленного счета МО.</w:t>
      </w:r>
    </w:p>
    <w:p w14:paraId="706AB9F6">
      <w:pPr>
        <w:pStyle w:val="44"/>
      </w:pPr>
      <w:r>
        <w:t xml:space="preserve">Детализированная информация о дефектах по превышению плановых объемов доступна в разделе «Информационный обмен» (см. </w:t>
      </w:r>
      <w:r>
        <w:fldChar w:fldCharType="begin"/>
      </w:r>
      <w:r>
        <w:instrText xml:space="preserve"> REF _Ref142477749 \n \h  \* MERGEFORMAT </w:instrText>
      </w:r>
      <w:r>
        <w:fldChar w:fldCharType="separate"/>
      </w:r>
      <w:r>
        <w:t>4.3.9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_Ref147139692 \n \h  \* MERGEFORMAT </w:instrText>
      </w:r>
      <w:r>
        <w:fldChar w:fldCharType="separate"/>
      </w:r>
      <w:r>
        <w:t>4.4</w:t>
      </w:r>
      <w:r>
        <w:fldChar w:fldCharType="end"/>
      </w:r>
      <w:r>
        <w:t>).</w:t>
      </w:r>
    </w:p>
    <w:p w14:paraId="496D072E">
      <w:pPr>
        <w:pStyle w:val="44"/>
      </w:pPr>
      <w:r>
        <w:t>Сводная информация по превышениям плановых объемов доступна в подразделе «Факт».</w:t>
      </w:r>
    </w:p>
    <w:p w14:paraId="76B95071">
      <w:pPr>
        <w:pStyle w:val="39"/>
      </w:pPr>
      <w:bookmarkStart w:id="746" w:name="_Toc149209674"/>
      <w:bookmarkStart w:id="747" w:name="_Hlk59550486"/>
      <w:bookmarkStart w:id="748" w:name="_Toc225871544"/>
      <w:bookmarkStart w:id="749" w:name="_Ref146636803"/>
      <w:bookmarkStart w:id="750" w:name="_Ref147163937"/>
      <w:bookmarkStart w:id="751" w:name="_Toc75264887"/>
      <w:bookmarkStart w:id="752" w:name="_Toc54614496"/>
      <w:bookmarkStart w:id="753" w:name="_Toc98169762"/>
      <w:bookmarkStart w:id="754" w:name="_Toc131174728"/>
      <w:bookmarkStart w:id="755" w:name="_Toc59464571"/>
      <w:r>
        <w:t>Мониторинг фактических показател</w:t>
      </w:r>
      <w:bookmarkEnd w:id="746"/>
      <w:bookmarkEnd w:id="747"/>
      <w:r>
        <w:t>ей</w:t>
      </w:r>
      <w:bookmarkEnd w:id="748"/>
    </w:p>
    <w:p w14:paraId="3E4FEBFF">
      <w:pPr>
        <w:pStyle w:val="44"/>
      </w:pPr>
      <w:r>
        <w:t>Сведения по фактически оказанным объемам медицинской помощи автоматически формируются при формировании счета на основании зарегистрированных сведений.</w:t>
      </w:r>
    </w:p>
    <w:p w14:paraId="1B1D73AD">
      <w:pPr>
        <w:pStyle w:val="44"/>
      </w:pPr>
      <w:r>
        <w:t>Просмотреть фактические показатели можно в подразделе «Факт» раздела «Мониторинг». Данный раздел предназначен для оперативного сравнения фактических показателей с плановыми и обнаружения случаев превышения распределенных плановых показателей.</w:t>
      </w:r>
    </w:p>
    <w:p w14:paraId="53EB65C0">
      <w:pPr>
        <w:pStyle w:val="44"/>
      </w:pPr>
      <w:r>
        <w:t xml:space="preserve">Для перехода в подраздел навести курсор на подраздел «План» раздела «Мониторинг» и в </w:t>
      </w:r>
      <w:bookmarkStart w:id="756" w:name="_Hlk162520779"/>
      <w:r>
        <w:t xml:space="preserve">раскрывающемся </w:t>
      </w:r>
      <w:bookmarkEnd w:id="756"/>
      <w:r>
        <w:t xml:space="preserve">списке выбрать пункт «Факт» (рис. </w:t>
      </w:r>
      <w:r>
        <w:fldChar w:fldCharType="begin"/>
      </w:r>
      <w:r>
        <w:instrText xml:space="preserve"> REF  _Ref146622278 \h\#\0   \* MERGEFORMAT </w:instrText>
      </w:r>
      <w:r>
        <w:fldChar w:fldCharType="separate"/>
      </w:r>
      <w:r>
        <w:t>171</w:t>
      </w:r>
      <w:r>
        <w:fldChar w:fldCharType="end"/>
      </w:r>
      <w:r>
        <w:t>).</w:t>
      </w:r>
    </w:p>
    <w:p w14:paraId="15AF0997">
      <w:pPr>
        <w:pStyle w:val="48"/>
      </w:pPr>
      <w:r>
        <w:drawing>
          <wp:inline distT="0" distB="0" distL="0" distR="0">
            <wp:extent cx="3159760" cy="1650365"/>
            <wp:effectExtent l="19050" t="19050" r="21590" b="26035"/>
            <wp:docPr id="2603993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399345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59760" cy="16503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174457">
      <w:pPr>
        <w:pStyle w:val="49"/>
      </w:pPr>
      <w:bookmarkStart w:id="757" w:name="_Ref1466222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171</w:t>
      </w:r>
      <w:r>
        <w:fldChar w:fldCharType="end"/>
      </w:r>
      <w:bookmarkEnd w:id="757"/>
      <w:r>
        <w:t xml:space="preserve"> — Раздел «Мониторинг». Выбор вкладки «Факт»</w:t>
      </w:r>
    </w:p>
    <w:p w14:paraId="2AA583F7">
      <w:pPr>
        <w:pStyle w:val="44"/>
      </w:pPr>
      <w:r>
        <w:t xml:space="preserve">В рабочей области в табличной форме отобразятся сведения о плановых и фактических показателях (рис. </w:t>
      </w:r>
      <w:r>
        <w:fldChar w:fldCharType="begin"/>
      </w:r>
      <w:r>
        <w:instrText xml:space="preserve"> REF  _Ref133513895 \h\#\0   \* MERGEFORMAT </w:instrText>
      </w:r>
      <w:r>
        <w:fldChar w:fldCharType="separate"/>
      </w:r>
      <w:r>
        <w:t>172</w:t>
      </w:r>
      <w:r>
        <w:fldChar w:fldCharType="end"/>
      </w:r>
      <w:r>
        <w:t>).</w:t>
      </w:r>
    </w:p>
    <w:p w14:paraId="662F3F4C">
      <w:pPr>
        <w:pStyle w:val="48"/>
      </w:pPr>
      <w:r>
        <w:drawing>
          <wp:inline distT="0" distB="0" distL="0" distR="0">
            <wp:extent cx="6119495" cy="973455"/>
            <wp:effectExtent l="19050" t="19050" r="14605" b="17145"/>
            <wp:docPr id="17314168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416849" name="Рисунок 1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734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3213CF">
      <w:pPr>
        <w:pStyle w:val="49"/>
      </w:pPr>
      <w:bookmarkStart w:id="758" w:name="_Ref1335138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172</w:t>
      </w:r>
      <w:r>
        <w:fldChar w:fldCharType="end"/>
      </w:r>
      <w:bookmarkEnd w:id="758"/>
      <w:r>
        <w:t xml:space="preserve"> — Раздел «Мониторинг». Подраздел «Факт»</w:t>
      </w:r>
    </w:p>
    <w:p w14:paraId="5B2ECC1B">
      <w:pPr>
        <w:pStyle w:val="44"/>
      </w:pPr>
      <w:r>
        <w:t>В блоке «Фильтр» панели фильтрации и поиска информации можно задать параметры поиска. Например, указать значение в поле «Год» и нажать кнопку «Найти».</w:t>
      </w:r>
    </w:p>
    <w:p w14:paraId="2D5914D5">
      <w:pPr>
        <w:pStyle w:val="44"/>
      </w:pPr>
      <w:r>
        <w:t>Для детального просмотра фактических и плановых показателях в разрезе КМК нажать на ссылку в столбце «Базовая программа (всего, руб.) План» или «Базовая программа (всего, ед.) План».</w:t>
      </w:r>
    </w:p>
    <w:p w14:paraId="4D80EDDE">
      <w:pPr>
        <w:pStyle w:val="44"/>
      </w:pPr>
      <w:r>
        <w:t xml:space="preserve">В рабочей области отобразятся данные </w:t>
      </w:r>
      <w:bookmarkStart w:id="759" w:name="_Hlk148717342"/>
      <w:r>
        <w:t>о фактических и плановых показателях</w:t>
      </w:r>
      <w:bookmarkEnd w:id="759"/>
      <w:r>
        <w:t xml:space="preserve">. </w:t>
      </w:r>
      <w:bookmarkStart w:id="760" w:name="_Hlk176252610"/>
      <w:r>
        <w:t xml:space="preserve">В случае, если в ФПУМП есть версия плановых показателей со статусом «Опубликовано МО», то при превышении фактических показателей над плановыми значение фактического показателя подсвечивается цветом </w:t>
      </w:r>
      <w:bookmarkEnd w:id="760"/>
      <w:r>
        <w:t xml:space="preserve">(рис. </w:t>
      </w:r>
      <w:r>
        <w:fldChar w:fldCharType="begin"/>
      </w:r>
      <w:r>
        <w:instrText xml:space="preserve"> REF  _Ref133513922 \h\#\0   \* MERGEFORMAT </w:instrText>
      </w:r>
      <w:r>
        <w:fldChar w:fldCharType="separate"/>
      </w:r>
      <w:r>
        <w:t>173</w:t>
      </w:r>
      <w:r>
        <w:fldChar w:fldCharType="end"/>
      </w:r>
      <w:r>
        <w:t>).</w:t>
      </w:r>
    </w:p>
    <w:p w14:paraId="6F6B3B02">
      <w:pPr>
        <w:pStyle w:val="48"/>
      </w:pPr>
      <w:r>
        <w:drawing>
          <wp:inline distT="0" distB="0" distL="0" distR="0">
            <wp:extent cx="6119495" cy="3248660"/>
            <wp:effectExtent l="19050" t="19050" r="14605" b="27940"/>
            <wp:docPr id="18764807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480773" name="Рисунок 1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486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5627C0">
      <w:pPr>
        <w:pStyle w:val="49"/>
      </w:pPr>
      <w:bookmarkStart w:id="761" w:name="_Ref1335139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173</w:t>
      </w:r>
      <w:r>
        <w:fldChar w:fldCharType="end"/>
      </w:r>
      <w:bookmarkEnd w:id="761"/>
      <w:r>
        <w:t xml:space="preserve"> — Раздел «Мониторинг». Фактические показатели</w:t>
      </w:r>
    </w:p>
    <w:p w14:paraId="15CEE1DA">
      <w:pPr>
        <w:pStyle w:val="44"/>
      </w:pPr>
      <w:r>
        <w:t xml:space="preserve">Если статус плановых показателей отличается от «Опубликовано МО», то значения фактических показателей, превышающих плановые, не подсвечиваются цветом (рис. </w:t>
      </w:r>
      <w:r>
        <w:fldChar w:fldCharType="begin"/>
      </w:r>
      <w:r>
        <w:instrText xml:space="preserve"> REF  _Ref176252182 \h \t\#\0 \* MERGEFORMAT </w:instrText>
      </w:r>
      <w:r>
        <w:fldChar w:fldCharType="separate"/>
      </w:r>
      <w:r>
        <w:t>174</w:t>
      </w:r>
      <w:r>
        <w:fldChar w:fldCharType="end"/>
      </w:r>
      <w:r>
        <w:t>).</w:t>
      </w:r>
    </w:p>
    <w:p w14:paraId="235F4DC1">
      <w:pPr>
        <w:pStyle w:val="48"/>
      </w:pPr>
      <w:r>
        <w:drawing>
          <wp:inline distT="0" distB="0" distL="0" distR="0">
            <wp:extent cx="6119495" cy="3087370"/>
            <wp:effectExtent l="19050" t="19050" r="14605" b="17780"/>
            <wp:docPr id="2621057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105790" name="Рисунок 1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873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396D9A">
      <w:pPr>
        <w:pStyle w:val="49"/>
      </w:pPr>
      <w:bookmarkStart w:id="762" w:name="_Ref17625218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174</w:t>
      </w:r>
      <w:r>
        <w:fldChar w:fldCharType="end"/>
      </w:r>
      <w:bookmarkEnd w:id="762"/>
      <w:r>
        <w:t xml:space="preserve"> — Раздел «Мониторинг». Фактические показатели</w:t>
      </w:r>
    </w:p>
    <w:p w14:paraId="2E3FCFB0">
      <w:pPr>
        <w:pStyle w:val="44"/>
      </w:pPr>
      <w:r>
        <w:t xml:space="preserve">При наличии выявленных случаев превышения фактических показателей у медицинской организации есть возможность в регламентные сроки отозвать и перераспределить плановые показатели, отредактировав поквартальные плановые значения (см. </w:t>
      </w:r>
      <w:r>
        <w:fldChar w:fldCharType="begin"/>
      </w:r>
      <w:r>
        <w:instrText xml:space="preserve"> REF _Ref154671415 \r \h  \* MERGEFORMAT </w:instrText>
      </w:r>
      <w:r>
        <w:fldChar w:fldCharType="separate"/>
      </w:r>
      <w:r>
        <w:t>4.7.6</w:t>
      </w:r>
      <w:r>
        <w:fldChar w:fldCharType="end"/>
      </w:r>
      <w:r>
        <w:t>).</w:t>
      </w:r>
    </w:p>
    <w:p w14:paraId="610F4BBB">
      <w:pPr>
        <w:pStyle w:val="44"/>
      </w:pPr>
      <w:r>
        <w:t xml:space="preserve">После внесения изменений оператор МО должен вернуться в подраздел «План» и убедиться, что изменения соответствуют опубликованным ФОМС годовым плановым показателям. При необходимости — внести дополнительные коррективы и опубликовать изменения (см. </w:t>
      </w:r>
      <w:r>
        <w:fldChar w:fldCharType="begin"/>
      </w:r>
      <w:r>
        <w:instrText xml:space="preserve"> REF _Ref146637527 \n \h  \* MERGEFORMAT </w:instrText>
      </w:r>
      <w:r>
        <w:fldChar w:fldCharType="separate"/>
      </w:r>
      <w:r>
        <w:t>4.7.3</w:t>
      </w:r>
      <w:r>
        <w:fldChar w:fldCharType="end"/>
      </w:r>
      <w:r>
        <w:t>).</w:t>
      </w:r>
    </w:p>
    <w:p w14:paraId="22D93900">
      <w:pPr>
        <w:pStyle w:val="39"/>
      </w:pPr>
      <w:bookmarkStart w:id="763" w:name="_Ref154671415"/>
      <w:bookmarkStart w:id="764" w:name="_Ref154676144"/>
      <w:bookmarkStart w:id="765" w:name="_Ref164172343"/>
      <w:bookmarkStart w:id="766" w:name="_Toc225871545"/>
      <w:bookmarkStart w:id="767" w:name="_Toc149209675"/>
      <w:r>
        <w:t>Редактирование квартальных плановых показателей</w:t>
      </w:r>
      <w:bookmarkEnd w:id="749"/>
      <w:bookmarkEnd w:id="763"/>
      <w:bookmarkEnd w:id="764"/>
      <w:bookmarkEnd w:id="765"/>
      <w:bookmarkEnd w:id="766"/>
      <w:bookmarkEnd w:id="767"/>
    </w:p>
    <w:p w14:paraId="026C7657">
      <w:pPr>
        <w:pStyle w:val="44"/>
      </w:pPr>
      <w:r>
        <w:t>ФОМС вправе загружать измененные годовые плановые показатели, а также отзывать опубликованную ранее версию плановых годовых показателей.</w:t>
      </w:r>
    </w:p>
    <w:p w14:paraId="1604AA12">
      <w:pPr>
        <w:pStyle w:val="44"/>
      </w:pPr>
      <w:r>
        <w:t>В случае отзыва плановых годовых показателей ФОМС работа МО по распределению показателей заблокирована.</w:t>
      </w:r>
    </w:p>
    <w:p w14:paraId="4BFD2C70">
      <w:pPr>
        <w:pStyle w:val="44"/>
      </w:pPr>
      <w:r>
        <w:t>Редактирование поквартальных плановых показателей (квартального плана) доступно только для записей в статусе «Черновик МО» или «Отозвано МО».</w:t>
      </w:r>
    </w:p>
    <w:p w14:paraId="4A9EA27F">
      <w:pPr>
        <w:pStyle w:val="44"/>
      </w:pPr>
      <w:r>
        <w:t>Решение о возможности перераспределения МО опубликованных ранее поквартальных плановых показателей принимает ФОМС. Значение «Разрешено» в столбце «Кв. план» (описание статусов см. </w:t>
      </w:r>
      <w:r>
        <w:fldChar w:fldCharType="begin"/>
      </w:r>
      <w:r>
        <w:instrText xml:space="preserve"> REF _Ref147163684 \n \h  \* MERGEFORMAT </w:instrText>
      </w:r>
      <w:r>
        <w:fldChar w:fldCharType="separate"/>
      </w:r>
      <w:r>
        <w:t>4.7.1</w:t>
      </w:r>
      <w:r>
        <w:fldChar w:fldCharType="end"/>
      </w:r>
      <w:r>
        <w:t>).</w:t>
      </w:r>
    </w:p>
    <w:p w14:paraId="42CCCBDC">
      <w:pPr>
        <w:pStyle w:val="44"/>
        <w:keepNext/>
      </w:pPr>
      <w:r>
        <w:t>Для внесения изменений в опубликованные ранее поквартальные плановые показатели необходимо:</w:t>
      </w:r>
    </w:p>
    <w:p w14:paraId="45B59C13">
      <w:pPr>
        <w:pStyle w:val="50"/>
        <w:numPr>
          <w:ilvl w:val="0"/>
          <w:numId w:val="20"/>
        </w:numPr>
      </w:pPr>
      <w:r>
        <w:t>в подразделе «План» раздела «Мониторинг» выбрать строку записи с последней версией показателей (статус плановых показателей «Черновик») и отозвать квартальный план, нажав кнопку «Отозвать»;</w:t>
      </w:r>
    </w:p>
    <w:p w14:paraId="633166FB">
      <w:pPr>
        <w:pStyle w:val="50"/>
        <w:tabs>
          <w:tab w:val="clear" w:pos="0"/>
        </w:tabs>
        <w:ind w:left="1"/>
      </w:pPr>
      <w:r>
        <w:t>обновить статус нажатием кнопки «Найти» в панели фильтрации и поиска информации. Статус записи изменится на «Отозвано МО»;</w:t>
      </w:r>
    </w:p>
    <w:p w14:paraId="7948A277">
      <w:pPr>
        <w:pStyle w:val="50"/>
        <w:tabs>
          <w:tab w:val="clear" w:pos="0"/>
        </w:tabs>
        <w:ind w:left="1"/>
      </w:pPr>
      <w:r>
        <w:t xml:space="preserve">после отображения в столбце «Кв. план» значения «Разрешено» перейти в форму распределения плановых показателей, нажав ссылку в столбце «Базовая программа (всего, руб)» (см. рис. </w:t>
      </w:r>
      <w:r>
        <w:fldChar w:fldCharType="begin"/>
      </w:r>
      <w:r>
        <w:instrText xml:space="preserve"> REF  _Ref146613202 \h\#\0   \* MERGEFORMAT </w:instrText>
      </w:r>
      <w:r>
        <w:fldChar w:fldCharType="separate"/>
      </w:r>
      <w:r>
        <w:t>165</w:t>
      </w:r>
      <w:r>
        <w:fldChar w:fldCharType="end"/>
      </w:r>
      <w:r>
        <w:t>);</w:t>
      </w:r>
    </w:p>
    <w:p w14:paraId="418CFBB1">
      <w:pPr>
        <w:pStyle w:val="50"/>
        <w:tabs>
          <w:tab w:val="clear" w:pos="0"/>
        </w:tabs>
        <w:ind w:left="1"/>
      </w:pPr>
      <w:r>
        <w:t xml:space="preserve">в открывшейся форме распределения плановых показателей нажать в строке записи кнопку </w:t>
      </w:r>
      <w:r>
        <w:drawing>
          <wp:inline distT="0" distB="0" distL="0" distR="0">
            <wp:extent cx="215900" cy="233680"/>
            <wp:effectExtent l="19050" t="19050" r="12700" b="13970"/>
            <wp:docPr id="209562211" name="Рисунок 20956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62211" name="Рисунок 209562211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3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«Редактировать» (рис. </w:t>
      </w:r>
      <w:r>
        <w:fldChar w:fldCharType="begin"/>
      </w:r>
      <w:r>
        <w:instrText xml:space="preserve"> REF  _Ref146721724 \h\#\0   \* MERGEFORMAT </w:instrText>
      </w:r>
      <w:r>
        <w:fldChar w:fldCharType="separate"/>
      </w:r>
      <w:r>
        <w:t>175</w:t>
      </w:r>
      <w:r>
        <w:fldChar w:fldCharType="end"/>
      </w:r>
      <w:r>
        <w:t>), чтобы внести необходимые изменения (доступные для редактирования ячейки окрашены белым цветом);</w:t>
      </w:r>
    </w:p>
    <w:p w14:paraId="58A08459">
      <w:pPr>
        <w:pStyle w:val="48"/>
      </w:pPr>
      <w:r>
        <w:drawing>
          <wp:inline distT="0" distB="0" distL="0" distR="0">
            <wp:extent cx="6119495" cy="1079500"/>
            <wp:effectExtent l="19050" t="19050" r="14605" b="25400"/>
            <wp:docPr id="4334395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439583" name="Рисунок 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795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023C60">
      <w:pPr>
        <w:pStyle w:val="49"/>
      </w:pPr>
      <w:bookmarkStart w:id="768" w:name="_Ref1467217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175</w:t>
      </w:r>
      <w:r>
        <w:fldChar w:fldCharType="end"/>
      </w:r>
      <w:bookmarkEnd w:id="768"/>
      <w:r>
        <w:t xml:space="preserve"> — Мониторинг. Федеральная базовая программа. Режим редактирования</w:t>
      </w:r>
    </w:p>
    <w:p w14:paraId="6DD2F3E2">
      <w:pPr>
        <w:pStyle w:val="50"/>
        <w:tabs>
          <w:tab w:val="clear" w:pos="0"/>
        </w:tabs>
        <w:ind w:left="1"/>
      </w:pPr>
      <w:r>
        <w:t>выбрать ячейку с количественным/финансовым показателем для редактирования двойным нажатием и ввести новое значение;</w:t>
      </w:r>
    </w:p>
    <w:p w14:paraId="50E30A1B">
      <w:pPr>
        <w:pStyle w:val="50"/>
        <w:tabs>
          <w:tab w:val="clear" w:pos="0"/>
        </w:tabs>
        <w:ind w:left="1"/>
      </w:pPr>
      <w:r>
        <w:t>сохранить изменения нажав значок «Сохранить» в конце строки (отображается после активации режима редактирования);</w:t>
      </w:r>
    </w:p>
    <w:p w14:paraId="310781F4">
      <w:pPr>
        <w:pStyle w:val="50"/>
        <w:tabs>
          <w:tab w:val="clear" w:pos="0"/>
        </w:tabs>
        <w:ind w:left="1"/>
      </w:pPr>
      <w:r>
        <w:t>убедиться в корректном распределении показателей — значения в столбцах «Кол-во (остаток)» и «Сумма (остаток)» во всех строках должны быть равны «0».</w:t>
      </w:r>
    </w:p>
    <w:bookmarkEnd w:id="750"/>
    <w:bookmarkEnd w:id="751"/>
    <w:bookmarkEnd w:id="752"/>
    <w:bookmarkEnd w:id="753"/>
    <w:bookmarkEnd w:id="754"/>
    <w:bookmarkEnd w:id="755"/>
    <w:p w14:paraId="081146CF">
      <w:pPr>
        <w:pStyle w:val="39"/>
      </w:pPr>
      <w:bookmarkStart w:id="769" w:name="_Toc54614495"/>
      <w:bookmarkStart w:id="770" w:name="_Toc59464570"/>
      <w:bookmarkStart w:id="771" w:name="_Toc98169761"/>
      <w:bookmarkStart w:id="772" w:name="_Toc225871546"/>
      <w:bookmarkStart w:id="773" w:name="_Toc75264886"/>
      <w:bookmarkStart w:id="774" w:name="_Ref147163968"/>
      <w:bookmarkStart w:id="775" w:name="_Toc131174727"/>
      <w:bookmarkStart w:id="776" w:name="_Toc149209676"/>
      <w:bookmarkStart w:id="777" w:name="_Toc131174733"/>
      <w:bookmarkStart w:id="778" w:name="_Ref484770793"/>
      <w:bookmarkStart w:id="779" w:name="_Ref142476996"/>
      <w:bookmarkStart w:id="780" w:name="_Toc117069399"/>
      <w:bookmarkStart w:id="781" w:name="_Ref485740464"/>
      <w:r>
        <w:t>Просмотр отчет</w:t>
      </w:r>
      <w:bookmarkEnd w:id="769"/>
      <w:bookmarkEnd w:id="770"/>
      <w:r>
        <w:t>ов</w:t>
      </w:r>
      <w:bookmarkEnd w:id="771"/>
      <w:bookmarkEnd w:id="772"/>
      <w:bookmarkEnd w:id="773"/>
      <w:bookmarkEnd w:id="774"/>
      <w:bookmarkEnd w:id="775"/>
      <w:bookmarkEnd w:id="776"/>
      <w:bookmarkStart w:id="782" w:name="_Toc196297867"/>
      <w:bookmarkEnd w:id="782"/>
      <w:bookmarkStart w:id="783" w:name="_Toc196228035"/>
      <w:bookmarkEnd w:id="783"/>
      <w:bookmarkStart w:id="784" w:name="_Toc196301096"/>
      <w:bookmarkEnd w:id="784"/>
      <w:bookmarkStart w:id="785" w:name="_Toc196227920"/>
      <w:bookmarkEnd w:id="785"/>
      <w:bookmarkStart w:id="786" w:name="_Toc196151600"/>
      <w:bookmarkEnd w:id="786"/>
    </w:p>
    <w:p w14:paraId="19D62C86">
      <w:pPr>
        <w:pStyle w:val="44"/>
      </w:pPr>
      <w:r>
        <w:t xml:space="preserve">Просмотреть отчет можно в разделе «Список отчетов» (см. </w:t>
      </w:r>
      <w:r>
        <w:fldChar w:fldCharType="begin"/>
      </w:r>
      <w:r>
        <w:instrText xml:space="preserve"> REF _Ref196306287 \n \h </w:instrText>
      </w:r>
      <w:r>
        <w:fldChar w:fldCharType="separate"/>
      </w:r>
      <w:r>
        <w:t>4.10</w:t>
      </w:r>
      <w:r>
        <w:fldChar w:fldCharType="end"/>
      </w:r>
      <w:r>
        <w:t>).</w:t>
      </w:r>
      <w:bookmarkStart w:id="787" w:name="_Toc196227921"/>
      <w:bookmarkEnd w:id="787"/>
      <w:bookmarkStart w:id="788" w:name="_Toc196228036"/>
      <w:bookmarkEnd w:id="788"/>
      <w:bookmarkStart w:id="789" w:name="_Toc196297868"/>
      <w:bookmarkEnd w:id="789"/>
      <w:bookmarkStart w:id="790" w:name="_Toc196151601"/>
      <w:bookmarkEnd w:id="790"/>
      <w:bookmarkStart w:id="791" w:name="_Toc196301097"/>
      <w:bookmarkEnd w:id="791"/>
    </w:p>
    <w:p w14:paraId="2FCE1375">
      <w:pPr>
        <w:pStyle w:val="44"/>
      </w:pPr>
      <w:r>
        <w:t>Для медицинской организации предусмотрена возможность выгрузки отчетов в форматах PDF, Excel.</w:t>
      </w:r>
      <w:bookmarkStart w:id="792" w:name="_Toc196301105"/>
      <w:bookmarkEnd w:id="792"/>
      <w:bookmarkStart w:id="793" w:name="_Toc196227929"/>
      <w:bookmarkEnd w:id="793"/>
      <w:bookmarkStart w:id="794" w:name="_Toc196228044"/>
      <w:bookmarkEnd w:id="794"/>
      <w:bookmarkStart w:id="795" w:name="_Toc196297876"/>
      <w:bookmarkEnd w:id="795"/>
      <w:bookmarkStart w:id="796" w:name="_Toc196151609"/>
      <w:bookmarkEnd w:id="796"/>
    </w:p>
    <w:p w14:paraId="4F961935">
      <w:pPr>
        <w:pStyle w:val="38"/>
      </w:pPr>
      <w:bookmarkStart w:id="797" w:name="_Ref182930566"/>
      <w:bookmarkStart w:id="798" w:name="_Toc225871547"/>
      <w:r>
        <w:t>Учет доступности коечного фонда</w:t>
      </w:r>
      <w:bookmarkEnd w:id="797"/>
      <w:bookmarkEnd w:id="798"/>
    </w:p>
    <w:p w14:paraId="59542EAC">
      <w:pPr>
        <w:pStyle w:val="44"/>
      </w:pPr>
      <w:bookmarkStart w:id="799" w:name="_Hlk182930860"/>
      <w:r>
        <w:t>Данные коечного фонда МО представлены во вкладке «Коечный фонд» раздела «Организационно-штатная структура».</w:t>
      </w:r>
    </w:p>
    <w:p w14:paraId="262F530B">
      <w:pPr>
        <w:pStyle w:val="44"/>
      </w:pPr>
      <w:r>
        <w:t xml:space="preserve">Для перехода в раздел в ленте главного меню раскрыть меню «Все разделы» и выбрать вкладку «Организационно-штатная структура» (рис. </w:t>
      </w:r>
      <w:r>
        <w:fldChar w:fldCharType="begin"/>
      </w:r>
      <w:r>
        <w:instrText xml:space="preserve"> REF  _Ref182931183 \h \t\#\0 \* MERGEFORMAT </w:instrText>
      </w:r>
      <w:r>
        <w:fldChar w:fldCharType="separate"/>
      </w:r>
      <w:r>
        <w:t>176</w:t>
      </w:r>
      <w:r>
        <w:fldChar w:fldCharType="end"/>
      </w:r>
      <w:r>
        <w:t>).</w:t>
      </w:r>
    </w:p>
    <w:p w14:paraId="7893F1BB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5399405" cy="2779395"/>
            <wp:effectExtent l="19050" t="19050" r="10795" b="20955"/>
            <wp:docPr id="20228060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06037" name="Рисунок 1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798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E24205">
      <w:pPr>
        <w:pStyle w:val="49"/>
      </w:pPr>
      <w:bookmarkStart w:id="800" w:name="_Ref18293118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176</w:t>
      </w:r>
      <w:r>
        <w:fldChar w:fldCharType="end"/>
      </w:r>
      <w:r>
        <w:t xml:space="preserve"> — </w:t>
      </w:r>
      <w:bookmarkStart w:id="801" w:name="_Hlk183027271"/>
      <w:r>
        <w:t>Всплывающее меню «Все разделы»</w:t>
      </w:r>
      <w:bookmarkEnd w:id="800"/>
      <w:bookmarkEnd w:id="801"/>
    </w:p>
    <w:p w14:paraId="5E587A21">
      <w:pPr>
        <w:pStyle w:val="44"/>
      </w:pPr>
      <w:r>
        <w:t xml:space="preserve">В разделе «Организационно-штатная структура» (рис. </w:t>
      </w:r>
      <w:r>
        <w:fldChar w:fldCharType="begin"/>
      </w:r>
      <w:r>
        <w:instrText xml:space="preserve"> REF  _Ref182931234 \h \t\#\0 \* MERGEFORMAT </w:instrText>
      </w:r>
      <w:r>
        <w:fldChar w:fldCharType="separate"/>
      </w:r>
      <w:r>
        <w:t>177</w:t>
      </w:r>
      <w:r>
        <w:fldChar w:fldCharType="end"/>
      </w:r>
      <w:r>
        <w:t>) доступен блок «Фильтр», а также вкладки для перехода в подразделы:</w:t>
      </w:r>
    </w:p>
    <w:p w14:paraId="03522819">
      <w:pPr>
        <w:pStyle w:val="51"/>
      </w:pPr>
      <w:r>
        <w:t>«Медицинские организации»;</w:t>
      </w:r>
    </w:p>
    <w:p w14:paraId="01D8EDF9">
      <w:pPr>
        <w:pStyle w:val="51"/>
      </w:pPr>
      <w:r>
        <w:t>«Структурные подразделения»;</w:t>
      </w:r>
    </w:p>
    <w:p w14:paraId="7A2E2759">
      <w:pPr>
        <w:pStyle w:val="51"/>
      </w:pPr>
      <w:r>
        <w:t>«Отделения и кабинеты»;</w:t>
      </w:r>
    </w:p>
    <w:p w14:paraId="57A87384">
      <w:pPr>
        <w:pStyle w:val="51"/>
      </w:pPr>
      <w:r>
        <w:t>«Занятость»;</w:t>
      </w:r>
    </w:p>
    <w:p w14:paraId="1C4964E6">
      <w:pPr>
        <w:pStyle w:val="51"/>
      </w:pPr>
      <w:r>
        <w:t>«Коечный фонд».</w:t>
      </w:r>
    </w:p>
    <w:p w14:paraId="698D3FD1">
      <w:pPr>
        <w:pStyle w:val="44"/>
      </w:pPr>
      <w:r>
        <w:t>Активная вкладка выделена цветом.</w:t>
      </w:r>
    </w:p>
    <w:p w14:paraId="2484CE8D">
      <w:pPr>
        <w:pStyle w:val="48"/>
      </w:pPr>
      <w:r>
        <w:drawing>
          <wp:inline distT="0" distB="0" distL="0" distR="0">
            <wp:extent cx="6119495" cy="3259455"/>
            <wp:effectExtent l="19050" t="19050" r="14605" b="17145"/>
            <wp:docPr id="587373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73090" name="Рисунок 1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94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2A58921">
      <w:pPr>
        <w:pStyle w:val="49"/>
      </w:pPr>
      <w:bookmarkStart w:id="802" w:name="_Ref1829312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177</w:t>
      </w:r>
      <w:r>
        <w:fldChar w:fldCharType="end"/>
      </w:r>
      <w:bookmarkEnd w:id="802"/>
      <w:r>
        <w:t xml:space="preserve"> — Вкладки раздела «Организационно-штатная структура». Активная вкладка «Коечный фонд». Подраздел «Визуальная форма (посуточно)»</w:t>
      </w:r>
    </w:p>
    <w:p w14:paraId="089E9B02">
      <w:pPr>
        <w:pStyle w:val="44"/>
      </w:pPr>
      <w:r>
        <w:t>Переход в подраздел «Коечный фонд» осуществляется по нажатию одноименной вкладки.</w:t>
      </w:r>
    </w:p>
    <w:p w14:paraId="5C79E9F2">
      <w:pPr>
        <w:pStyle w:val="44"/>
      </w:pPr>
      <w:r>
        <w:t>Доступны вкладки для перехода в подразделы:</w:t>
      </w:r>
    </w:p>
    <w:p w14:paraId="3127AAA4">
      <w:pPr>
        <w:pStyle w:val="51"/>
      </w:pPr>
      <w:r>
        <w:t xml:space="preserve">«Визуальная форма (посуточно)» — просмотр данных о доступности и обороте коечного фонда в графическом виде (описание приведено в </w:t>
      </w:r>
      <w:r>
        <w:fldChar w:fldCharType="begin"/>
      </w:r>
      <w:r>
        <w:instrText xml:space="preserve"> REF _Ref182922805 \n \h </w:instrText>
      </w:r>
      <w:r>
        <w:fldChar w:fldCharType="separate"/>
      </w:r>
      <w:r>
        <w:t>4.8.1</w:t>
      </w:r>
      <w:r>
        <w:fldChar w:fldCharType="end"/>
      </w:r>
      <w:r>
        <w:t>);</w:t>
      </w:r>
    </w:p>
    <w:p w14:paraId="59CA1AA9">
      <w:pPr>
        <w:pStyle w:val="51"/>
      </w:pPr>
      <w:r>
        <w:t xml:space="preserve">«Показатели оборота за период» — просмотр сведений об обороте коечного фонда за период (описание приведено в </w:t>
      </w:r>
      <w:r>
        <w:fldChar w:fldCharType="begin"/>
      </w:r>
      <w:r>
        <w:instrText xml:space="preserve"> REF _Ref182926659 \n \h </w:instrText>
      </w:r>
      <w:r>
        <w:fldChar w:fldCharType="separate"/>
      </w:r>
      <w:r>
        <w:t>4.8.1.1</w:t>
      </w:r>
      <w:r>
        <w:fldChar w:fldCharType="end"/>
      </w:r>
      <w:r>
        <w:t>);</w:t>
      </w:r>
    </w:p>
    <w:p w14:paraId="396DB15E">
      <w:pPr>
        <w:pStyle w:val="51"/>
      </w:pPr>
      <w:r>
        <w:t xml:space="preserve">«Данные витрины» — просмотр сведений по учету коечного фонда на заданную дату (описание приведено в </w:t>
      </w:r>
      <w:r>
        <w:fldChar w:fldCharType="begin"/>
      </w:r>
      <w:r>
        <w:instrText xml:space="preserve"> REF _Ref182926668 \n \h </w:instrText>
      </w:r>
      <w:r>
        <w:fldChar w:fldCharType="separate"/>
      </w:r>
      <w:r>
        <w:t>4.8.3</w:t>
      </w:r>
      <w:r>
        <w:fldChar w:fldCharType="end"/>
      </w:r>
      <w:r>
        <w:t xml:space="preserve">) и формирование отчета о доступности коечного фонда (описание приведено в </w:t>
      </w:r>
      <w:r>
        <w:fldChar w:fldCharType="begin"/>
      </w:r>
      <w:r>
        <w:instrText xml:space="preserve"> REF _Hlk182926348 \n \h </w:instrText>
      </w:r>
      <w:r>
        <w:fldChar w:fldCharType="separate"/>
      </w:r>
      <w:r>
        <w:t>4.8.4</w:t>
      </w:r>
      <w:r>
        <w:fldChar w:fldCharType="end"/>
      </w:r>
      <w:r>
        <w:t>);</w:t>
      </w:r>
    </w:p>
    <w:p w14:paraId="403A332C">
      <w:pPr>
        <w:pStyle w:val="51"/>
      </w:pPr>
      <w:r>
        <w:t xml:space="preserve">«Свободные места» — просмотр сведений по планируемым показателям свободных мест (описание приведено в </w:t>
      </w:r>
      <w:r>
        <w:fldChar w:fldCharType="begin"/>
      </w:r>
      <w:r>
        <w:instrText xml:space="preserve"> REF _Ref185352386 \n \h </w:instrText>
      </w:r>
      <w:r>
        <w:fldChar w:fldCharType="separate"/>
      </w:r>
      <w:r>
        <w:t>4.8.5</w:t>
      </w:r>
      <w:r>
        <w:fldChar w:fldCharType="end"/>
      </w:r>
      <w:r>
        <w:t>).</w:t>
      </w:r>
    </w:p>
    <w:p w14:paraId="68F40028">
      <w:pPr>
        <w:pStyle w:val="44"/>
      </w:pPr>
      <w:r>
        <w:t xml:space="preserve">Под лентой выбора вкладок раздела «Коечный фонд» отображается кнопка </w:t>
      </w:r>
      <w:r>
        <w:drawing>
          <wp:inline distT="0" distB="0" distL="0" distR="0">
            <wp:extent cx="215900" cy="223520"/>
            <wp:effectExtent l="19050" t="19050" r="12700" b="24130"/>
            <wp:docPr id="289575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75239" name="Рисунок 1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2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«Обновить». При нажатии кнопки повторяется последний запрос к подсистеме с учетом параметров отбора, заданных в последнем выполненном запросе.</w:t>
      </w:r>
    </w:p>
    <w:p w14:paraId="1B6D2FDC">
      <w:pPr>
        <w:pStyle w:val="39"/>
      </w:pPr>
      <w:bookmarkStart w:id="803" w:name="_Ref182922805"/>
      <w:bookmarkStart w:id="804" w:name="_Toc225871548"/>
      <w:r>
        <w:t>Просмотр данных коечного фонда в графическом виде</w:t>
      </w:r>
      <w:bookmarkEnd w:id="803"/>
      <w:bookmarkEnd w:id="804"/>
    </w:p>
    <w:p w14:paraId="2679E808">
      <w:pPr>
        <w:pStyle w:val="44"/>
      </w:pPr>
      <w:r>
        <w:t>Просмотр данных о доступности и обороте коечного фонда в графическом виде осуществляется в подразделе «Визуальная форма (посуточно)».</w:t>
      </w:r>
    </w:p>
    <w:p w14:paraId="2DC74BC1">
      <w:pPr>
        <w:pStyle w:val="44"/>
      </w:pPr>
      <w:r>
        <w:t>В графической форме можно просмотреть сведения о доступности и обороте коечного фонда по следующим показателям:</w:t>
      </w:r>
    </w:p>
    <w:p w14:paraId="51B20494">
      <w:pPr>
        <w:pStyle w:val="51"/>
      </w:pPr>
      <w:bookmarkStart w:id="805" w:name="_Hlk214546947"/>
      <w:r>
        <w:t>количество заявленных и занятых коек в разрезе профилей коек;</w:t>
      </w:r>
    </w:p>
    <w:p w14:paraId="356676F6">
      <w:pPr>
        <w:pStyle w:val="51"/>
      </w:pPr>
      <w:r>
        <w:t>общее количество занятых коек (общая утилизация коечного фонда);</w:t>
      </w:r>
    </w:p>
    <w:p w14:paraId="36EE8300">
      <w:pPr>
        <w:pStyle w:val="51"/>
      </w:pPr>
      <w:r>
        <w:t>количество поступивших и выбывших пациентов в разрезе профилей коек;</w:t>
      </w:r>
    </w:p>
    <w:p w14:paraId="77246359">
      <w:pPr>
        <w:pStyle w:val="51"/>
      </w:pPr>
      <w:r>
        <w:t>общее количество поступивших и выбывших пациентов;</w:t>
      </w:r>
    </w:p>
    <w:p w14:paraId="4A04510E">
      <w:pPr>
        <w:pStyle w:val="51"/>
      </w:pPr>
      <w:r>
        <w:t>общее количество поступивших и выбывших пациентов нарастающим итогом</w:t>
      </w:r>
      <w:bookmarkEnd w:id="805"/>
      <w:r>
        <w:t>.</w:t>
      </w:r>
    </w:p>
    <w:p w14:paraId="22A66C84">
      <w:pPr>
        <w:pStyle w:val="44"/>
      </w:pPr>
      <w:r>
        <w:t>Для перехода в подраздел выбрать вкладку «Визуальная форма (посуточно)».</w:t>
      </w:r>
    </w:p>
    <w:p w14:paraId="659DC30A">
      <w:pPr>
        <w:pStyle w:val="44"/>
      </w:pPr>
      <w:r>
        <w:t xml:space="preserve">Рабочая область подраздела «Визуальная форма (посуточно)» содержит две информационных панели для отображения данных в графическом виде (рис. </w:t>
      </w:r>
      <w:r>
        <w:fldChar w:fldCharType="begin"/>
      </w:r>
      <w:r>
        <w:instrText xml:space="preserve"> REF  _Ref205989505 \h \t\#\0   \* MERGEFORMAT </w:instrText>
      </w:r>
      <w:r>
        <w:fldChar w:fldCharType="separate"/>
      </w:r>
      <w:r>
        <w:t>178</w:t>
      </w:r>
      <w:r>
        <w:fldChar w:fldCharType="end"/>
      </w:r>
      <w:r>
        <w:t>):</w:t>
      </w:r>
    </w:p>
    <w:p w14:paraId="70505496">
      <w:pPr>
        <w:pStyle w:val="50"/>
        <w:numPr>
          <w:ilvl w:val="0"/>
          <w:numId w:val="21"/>
        </w:numPr>
      </w:pPr>
      <w:r>
        <w:t>«Занятость коечного фонда» — верхняя панель;</w:t>
      </w:r>
    </w:p>
    <w:p w14:paraId="54C9E54B">
      <w:pPr>
        <w:pStyle w:val="50"/>
        <w:tabs>
          <w:tab w:val="clear" w:pos="0"/>
        </w:tabs>
      </w:pPr>
      <w:r>
        <w:t>«Поступившие, выбывшие нарастающим итогом» — нижняя панель.</w:t>
      </w:r>
    </w:p>
    <w:p w14:paraId="606E502D">
      <w:pPr>
        <w:pStyle w:val="48"/>
      </w:pPr>
      <w:r>
        <w:drawing>
          <wp:inline distT="0" distB="0" distL="0" distR="0">
            <wp:extent cx="6119495" cy="3235960"/>
            <wp:effectExtent l="19050" t="19050" r="14605" b="21590"/>
            <wp:docPr id="9584507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450711" name="Рисунок 1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359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306B7B3">
      <w:pPr>
        <w:pStyle w:val="49"/>
      </w:pPr>
      <w:bookmarkStart w:id="806" w:name="_Ref20598950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178</w:t>
      </w:r>
      <w:r>
        <w:fldChar w:fldCharType="end"/>
      </w:r>
      <w:bookmarkEnd w:id="806"/>
      <w:r>
        <w:t xml:space="preserve"> — Раздел «Организационно-штатная структура». Активная вкладка «Коечный фонд». Подраздел «Визуальная форма (посуточно)»</w:t>
      </w:r>
    </w:p>
    <w:p w14:paraId="33C21057">
      <w:pPr>
        <w:pStyle w:val="44"/>
      </w:pPr>
      <w:r>
        <w:t xml:space="preserve">Для получения данных для отображения необходимо задать параметры отбора данных в блоке «Фильтр» (рис. </w:t>
      </w:r>
      <w:r>
        <w:fldChar w:fldCharType="begin"/>
      </w:r>
      <w:r>
        <w:instrText xml:space="preserve"> REF  _Ref205989539 \h \t\#\0   \* MERGEFORMAT </w:instrText>
      </w:r>
      <w:r>
        <w:fldChar w:fldCharType="separate"/>
      </w:r>
      <w:r>
        <w:t>179</w:t>
      </w:r>
      <w:r>
        <w:fldChar w:fldCharType="end"/>
      </w:r>
      <w:r>
        <w:t>).</w:t>
      </w:r>
    </w:p>
    <w:p w14:paraId="36F9A9EF">
      <w:pPr>
        <w:pStyle w:val="44"/>
      </w:pPr>
      <w:r>
        <w:t>Блок «Фильтр» содержит переключатели:</w:t>
      </w:r>
    </w:p>
    <w:p w14:paraId="22F8F584">
      <w:pPr>
        <w:pStyle w:val="51"/>
      </w:pPr>
      <w:r>
        <w:t>выбора режима отбора данных для отображения:</w:t>
      </w:r>
    </w:p>
    <w:p w14:paraId="43EF8B91">
      <w:pPr>
        <w:pStyle w:val="77"/>
        <w:ind w:left="1134"/>
      </w:pPr>
      <w:r>
        <w:t>«По орг. структуре» — данные группируются в разрезе профилей коек для выбранной структурной единицы медицинской организации (описание см. в </w:t>
      </w:r>
      <w:r>
        <w:fldChar w:fldCharType="begin"/>
      </w:r>
      <w:r>
        <w:instrText xml:space="preserve"> REF _Ref214553651 \n \h </w:instrText>
      </w:r>
      <w:r>
        <w:fldChar w:fldCharType="separate"/>
      </w:r>
      <w:r>
        <w:t>4.8.1.1</w:t>
      </w:r>
      <w:r>
        <w:fldChar w:fldCharType="end"/>
      </w:r>
      <w:r>
        <w:t>);</w:t>
      </w:r>
    </w:p>
    <w:p w14:paraId="57C9FF82">
      <w:pPr>
        <w:pStyle w:val="77"/>
        <w:ind w:left="1134"/>
      </w:pPr>
      <w:r>
        <w:t xml:space="preserve">«По профилю» — данные группируются в разрезе структурных единиц медицинской организации для конкретного профиля коек (описание см. в </w:t>
      </w:r>
      <w:r>
        <w:fldChar w:fldCharType="begin"/>
      </w:r>
      <w:r>
        <w:instrText xml:space="preserve"> REF _Ref214553669 \n \h </w:instrText>
      </w:r>
      <w:r>
        <w:fldChar w:fldCharType="separate"/>
      </w:r>
      <w:r>
        <w:t>4.8.1.2</w:t>
      </w:r>
      <w:r>
        <w:fldChar w:fldCharType="end"/>
      </w:r>
      <w:r>
        <w:t>);</w:t>
      </w:r>
    </w:p>
    <w:p w14:paraId="7B5C0327">
      <w:pPr>
        <w:pStyle w:val="51"/>
      </w:pPr>
      <w:r>
        <w:t>выбора отображения данных:</w:t>
      </w:r>
    </w:p>
    <w:p w14:paraId="13F1E2B6">
      <w:pPr>
        <w:pStyle w:val="77"/>
        <w:ind w:left="1134"/>
      </w:pPr>
      <w:r>
        <w:t>«Всего» — отображение заявленных коек;</w:t>
      </w:r>
    </w:p>
    <w:p w14:paraId="41931731">
      <w:pPr>
        <w:pStyle w:val="77"/>
        <w:ind w:left="1134"/>
      </w:pPr>
      <w:r>
        <w:t>«В ОМС» — отображение заявленных коек только в ОМС.</w:t>
      </w:r>
    </w:p>
    <w:p w14:paraId="42ED79AF">
      <w:pPr>
        <w:pStyle w:val="48"/>
      </w:pPr>
      <w:r>
        <w:drawing>
          <wp:inline distT="0" distB="0" distL="0" distR="0">
            <wp:extent cx="2339975" cy="3016250"/>
            <wp:effectExtent l="19050" t="19050" r="22225" b="12700"/>
            <wp:docPr id="16116987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698766" name="Рисунок 1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01653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6201F9">
      <w:pPr>
        <w:pStyle w:val="49"/>
      </w:pPr>
      <w:bookmarkStart w:id="807" w:name="_Ref2059895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179</w:t>
      </w:r>
      <w:r>
        <w:fldChar w:fldCharType="end"/>
      </w:r>
      <w:bookmarkEnd w:id="807"/>
      <w:r>
        <w:t xml:space="preserve"> — Блок «Параметры обора». Режим отбора данных «По орг. структуре» «Всего»</w:t>
      </w:r>
    </w:p>
    <w:p w14:paraId="50BBAC8B">
      <w:pPr>
        <w:pStyle w:val="40"/>
      </w:pPr>
      <w:bookmarkStart w:id="808" w:name="_Ref214553651"/>
      <w:bookmarkStart w:id="809" w:name="_Ref182926659"/>
      <w:r>
        <w:t>Просмотр данных коечного фонда по организационной структуре</w:t>
      </w:r>
      <w:bookmarkEnd w:id="808"/>
    </w:p>
    <w:p w14:paraId="18B1F8D9">
      <w:pPr>
        <w:pStyle w:val="44"/>
      </w:pPr>
      <w:r>
        <w:t>Режим «По орг. структуре» предназначен для просмотра данных по всем профилям коек всех отделений МО в разрезе условий оказания медицинской помощи.</w:t>
      </w:r>
    </w:p>
    <w:p w14:paraId="7EA461EA">
      <w:pPr>
        <w:pStyle w:val="44"/>
      </w:pPr>
      <w:r>
        <w:t xml:space="preserve">В режиме «По орг. структуре» «Всего» блок «Фильтр» содержит следующие параметры отбора (см. рис. </w:t>
      </w:r>
      <w:r>
        <w:fldChar w:fldCharType="begin"/>
      </w:r>
      <w:r>
        <w:instrText xml:space="preserve"> REF  _Ref205989539 \h \t\#\0   \* MERGEFORMAT </w:instrText>
      </w:r>
      <w:r>
        <w:fldChar w:fldCharType="separate"/>
      </w:r>
      <w:r>
        <w:t>179</w:t>
      </w:r>
      <w:r>
        <w:fldChar w:fldCharType="end"/>
      </w:r>
      <w:r>
        <w:t>):</w:t>
      </w:r>
    </w:p>
    <w:p w14:paraId="44B62248">
      <w:pPr>
        <w:pStyle w:val="51"/>
      </w:pPr>
      <w:r>
        <w:t>«Структурное подразделение» — структурное подразделение МО по данным ФРМО;</w:t>
      </w:r>
    </w:p>
    <w:p w14:paraId="1A4E04AB">
      <w:pPr>
        <w:pStyle w:val="51"/>
      </w:pPr>
      <w:r>
        <w:t>«Отделение» — отделение МО по данным ФРМО;</w:t>
      </w:r>
    </w:p>
    <w:p w14:paraId="3E15DCCD">
      <w:pPr>
        <w:pStyle w:val="51"/>
      </w:pPr>
      <w:r>
        <w:t>«Профиль» — профиль койки</w:t>
      </w:r>
      <w:r>
        <w:rPr>
          <w:lang w:val="en-US"/>
        </w:rPr>
        <w:t>;</w:t>
      </w:r>
    </w:p>
    <w:p w14:paraId="67C485A7">
      <w:pPr>
        <w:pStyle w:val="51"/>
      </w:pPr>
      <w:r>
        <w:t>«Дата (с)» — обязательный параметр. Учитываются сведения с 09:00 истекших суток до 09:00 даты поиска;</w:t>
      </w:r>
    </w:p>
    <w:p w14:paraId="7948480F">
      <w:pPr>
        <w:pStyle w:val="51"/>
      </w:pPr>
      <w:r>
        <w:t>«Дата (по)» — обязательный параметр. Учитываются сведения с 09:00 истекших суток до 09:00 даты поиска.</w:t>
      </w:r>
    </w:p>
    <w:p w14:paraId="650152F8">
      <w:pPr>
        <w:pStyle w:val="44"/>
      </w:pPr>
      <w:r>
        <w:t xml:space="preserve">В режиме «По орг. структуре» «В ОМС» (рис. </w:t>
      </w:r>
      <w:r>
        <w:fldChar w:fldCharType="begin"/>
      </w:r>
      <w:r>
        <w:instrText xml:space="preserve"> REF  _Ref205989644 \h \t\#\0   \* MERGEFORMAT </w:instrText>
      </w:r>
      <w:r>
        <w:fldChar w:fldCharType="separate"/>
      </w:r>
      <w:r>
        <w:t>180</w:t>
      </w:r>
      <w:r>
        <w:fldChar w:fldCharType="end"/>
      </w:r>
      <w:r>
        <w:t>) отображаются плановые показатели, относящиеся к договорам в системе ОМС. Блок «Фильтр» содержит дополнительное поле «ТПГГ и ПГГ» — код МО в системе ОМС согласно справочнику F032. Выбор значения в справочнике ОМС доступен после заполнения обязательного поля «МО». Остальные поля аналогичны параметрам отбора режима «Всего».</w:t>
      </w:r>
    </w:p>
    <w:p w14:paraId="7ED8E71B">
      <w:pPr>
        <w:pStyle w:val="48"/>
      </w:pPr>
      <w:r>
        <w:drawing>
          <wp:inline distT="0" distB="0" distL="0" distR="0">
            <wp:extent cx="2339975" cy="3416935"/>
            <wp:effectExtent l="19050" t="19050" r="22225" b="12065"/>
            <wp:docPr id="788185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85152" name="Рисунок 1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41752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26F00A">
      <w:pPr>
        <w:pStyle w:val="49"/>
      </w:pPr>
      <w:bookmarkStart w:id="810" w:name="_Ref20598964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180</w:t>
      </w:r>
      <w:r>
        <w:fldChar w:fldCharType="end"/>
      </w:r>
      <w:bookmarkEnd w:id="810"/>
      <w:r>
        <w:t xml:space="preserve"> — Блок «Фильтр». Режим отбора данных «По орг. структуре» «В ОМС»</w:t>
      </w:r>
    </w:p>
    <w:p w14:paraId="0AD3ABF1">
      <w:pPr>
        <w:pStyle w:val="44"/>
      </w:pPr>
      <w:r>
        <w:t>После задания необходимых параметров отбора данных, включая обязательные параметры, отмеченные символом «*» звездочка, нажать «Найти».</w:t>
      </w:r>
    </w:p>
    <w:p w14:paraId="7577FD23">
      <w:pPr>
        <w:pStyle w:val="44"/>
      </w:pPr>
      <w:r>
        <w:t xml:space="preserve">В рабочей области на информационных панелях (рис. </w:t>
      </w:r>
      <w:r>
        <w:fldChar w:fldCharType="begin"/>
      </w:r>
      <w:r>
        <w:instrText xml:space="preserve"> REF  _Ref205989668 \h \t\#\0   \* MERGEFORMAT </w:instrText>
      </w:r>
      <w:r>
        <w:fldChar w:fldCharType="separate"/>
      </w:r>
      <w:r>
        <w:t>181</w:t>
      </w:r>
      <w:r>
        <w:fldChar w:fldCharType="end"/>
      </w:r>
      <w:r>
        <w:t>) отобразятся диаграммы с данными, соответствующими заданным критериям отбора.</w:t>
      </w:r>
    </w:p>
    <w:p w14:paraId="4B758E0A">
      <w:pPr>
        <w:pStyle w:val="48"/>
      </w:pPr>
    </w:p>
    <w:p w14:paraId="17371796">
      <w:pPr>
        <w:pStyle w:val="48"/>
      </w:pPr>
      <w:r>
        <w:drawing>
          <wp:inline distT="0" distB="0" distL="0" distR="0">
            <wp:extent cx="5080635" cy="4822190"/>
            <wp:effectExtent l="19050" t="19050" r="24765" b="16510"/>
            <wp:docPr id="207724988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249881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87"/>
                    <a:stretch>
                      <a:fillRect/>
                    </a:stretch>
                  </pic:blipFill>
                  <pic:spPr>
                    <a:xfrm>
                      <a:off x="0" y="0"/>
                      <a:ext cx="5081036" cy="4822190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7909050">
      <w:pPr>
        <w:pStyle w:val="49"/>
      </w:pPr>
      <w:bookmarkStart w:id="811" w:name="_Ref2059896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181</w:t>
      </w:r>
      <w:r>
        <w:fldChar w:fldCharType="end"/>
      </w:r>
      <w:bookmarkEnd w:id="811"/>
      <w:r>
        <w:t xml:space="preserve"> — Коечный фонд. Визуальная форма (посуточно)</w:t>
      </w:r>
    </w:p>
    <w:p w14:paraId="3FFD1718">
      <w:pPr>
        <w:pStyle w:val="44"/>
      </w:pPr>
      <w:r>
        <w:t>Информационная панель «Занятость коечного фонда» содержит диаграмму посуточных данных с показателями:</w:t>
      </w:r>
    </w:p>
    <w:p w14:paraId="6B6BB8E0">
      <w:pPr>
        <w:pStyle w:val="51"/>
      </w:pPr>
      <w:r>
        <w:t>количество заявленных коек в разрезе профилей коек;</w:t>
      </w:r>
    </w:p>
    <w:p w14:paraId="1EA05C51">
      <w:pPr>
        <w:pStyle w:val="51"/>
      </w:pPr>
      <w:r>
        <w:t>количество занятых коек в разрезе профилей коек;</w:t>
      </w:r>
    </w:p>
    <w:p w14:paraId="09025B7B">
      <w:pPr>
        <w:pStyle w:val="51"/>
      </w:pPr>
      <w:r>
        <w:t>общее количество занятых коек — график общей утилизации коечного фонда.</w:t>
      </w:r>
    </w:p>
    <w:p w14:paraId="3A7C3F2C">
      <w:pPr>
        <w:pStyle w:val="44"/>
      </w:pPr>
      <w:r>
        <w:t>Легенда визуализации расположена под диаграммой в нижней части панели. Легенда содержит цветовую индикацию на диаграмме столбцов представления профилей коек и графика общей утилизации коечного фонда.</w:t>
      </w:r>
    </w:p>
    <w:p w14:paraId="4B904B62">
      <w:pPr>
        <w:pStyle w:val="44"/>
      </w:pPr>
      <w:r>
        <w:t xml:space="preserve">Пример панели «Занятость коечного фонда» приведен на рисунке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205886278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182</w:t>
      </w:r>
      <w:r>
        <w:rPr>
          <w:lang w:val="en-US"/>
        </w:rPr>
        <w:fldChar w:fldCharType="end"/>
      </w:r>
      <w:r>
        <w:t>.</w:t>
      </w:r>
    </w:p>
    <w:p w14:paraId="79A8C49E">
      <w:pPr>
        <w:pStyle w:val="48"/>
      </w:pPr>
      <w:r>
        <w:drawing>
          <wp:inline distT="0" distB="0" distL="0" distR="0">
            <wp:extent cx="6120765" cy="2298700"/>
            <wp:effectExtent l="19050" t="19050" r="13335" b="25400"/>
            <wp:docPr id="106197320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973209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2987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8BCF51">
      <w:pPr>
        <w:pStyle w:val="49"/>
      </w:pPr>
      <w:bookmarkStart w:id="812" w:name="_Ref2058862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182</w:t>
      </w:r>
      <w:r>
        <w:fldChar w:fldCharType="end"/>
      </w:r>
      <w:bookmarkEnd w:id="812"/>
      <w:r>
        <w:t xml:space="preserve"> — Визуальная форма (посуточно). Режим отбора данных «По орг. структуре» «Всего». Панель «Занятость коечного фонда»</w:t>
      </w:r>
    </w:p>
    <w:p w14:paraId="409D423F">
      <w:pPr>
        <w:pStyle w:val="44"/>
      </w:pPr>
      <w:r>
        <w:t>На вертикальной оси отображается утилизация коечного фонда — шкала общего количества коек (Всего) и количества занятых коек (Кол-во коек). На горизонтальной оси отображаются даты заданного временного периода.</w:t>
      </w:r>
    </w:p>
    <w:p w14:paraId="6C035356">
      <w:pPr>
        <w:pStyle w:val="44"/>
      </w:pPr>
      <w:r>
        <w:t xml:space="preserve">При наведении указателя на столбец диаграммы (рис. </w:t>
      </w:r>
      <w:r>
        <w:fldChar w:fldCharType="begin"/>
      </w:r>
      <w:r>
        <w:instrText xml:space="preserve"> REF  _Ref205989693 \h \t\#\0   \* MERGEFORMAT </w:instrText>
      </w:r>
      <w:r>
        <w:fldChar w:fldCharType="separate"/>
      </w:r>
      <w:r>
        <w:t>183</w:t>
      </w:r>
      <w:r>
        <w:fldChar w:fldCharType="end"/>
      </w:r>
      <w:r>
        <w:t>) отображается информация о количестве доступных коек данного профиля на конкретную дату:</w:t>
      </w:r>
    </w:p>
    <w:p w14:paraId="56A0EC06">
      <w:pPr>
        <w:pStyle w:val="51"/>
      </w:pPr>
      <w:r>
        <w:t>дата,</w:t>
      </w:r>
    </w:p>
    <w:p w14:paraId="768B7DAA">
      <w:pPr>
        <w:pStyle w:val="51"/>
      </w:pPr>
      <w:r>
        <w:t>код и наименование профиля коек и количество заявленных коек на данную дату (всего);</w:t>
      </w:r>
    </w:p>
    <w:p w14:paraId="6060DAA4">
      <w:pPr>
        <w:pStyle w:val="51"/>
      </w:pPr>
      <w:r>
        <w:t>код и наименование профиля коек и количество занятых коек на данную дату (занято).</w:t>
      </w:r>
    </w:p>
    <w:p w14:paraId="7EB0B764">
      <w:pPr>
        <w:pStyle w:val="48"/>
      </w:pPr>
      <w:r>
        <w:drawing>
          <wp:inline distT="0" distB="0" distL="0" distR="0">
            <wp:extent cx="3455670" cy="2680335"/>
            <wp:effectExtent l="19050" t="19050" r="11430" b="24765"/>
            <wp:docPr id="15874447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444724" name="Рисунок 1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268038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C787428">
      <w:pPr>
        <w:pStyle w:val="49"/>
      </w:pPr>
      <w:bookmarkStart w:id="813" w:name="_Ref20598969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183</w:t>
      </w:r>
      <w:r>
        <w:fldChar w:fldCharType="end"/>
      </w:r>
      <w:bookmarkEnd w:id="813"/>
      <w:r>
        <w:t xml:space="preserve"> — Пример отображения всплывающих сведений о занятости коечного фонда по профилю койки</w:t>
      </w:r>
    </w:p>
    <w:p w14:paraId="140D140D">
      <w:pPr>
        <w:pStyle w:val="44"/>
      </w:pPr>
      <w:r>
        <w:t>На информационной панели «Поступившие, выбывшие нарастающим итогом» (рис.</w:t>
      </w:r>
      <w:r>
        <w:rPr>
          <w:lang w:val="en-US"/>
        </w:rPr>
        <w:t> </w:t>
      </w:r>
      <w:r>
        <w:fldChar w:fldCharType="begin"/>
      </w:r>
      <w:r>
        <w:instrText xml:space="preserve"> REF  _Ref205476860 \h\#\0   \* MERGEFORMAT </w:instrText>
      </w:r>
      <w:r>
        <w:fldChar w:fldCharType="separate"/>
      </w:r>
      <w:r>
        <w:t>184</w:t>
      </w:r>
      <w:r>
        <w:fldChar w:fldCharType="end"/>
      </w:r>
      <w:r>
        <w:t>) в графическом виде представлены посуточные данные по показателям:</w:t>
      </w:r>
    </w:p>
    <w:p w14:paraId="54C6F151">
      <w:pPr>
        <w:pStyle w:val="51"/>
      </w:pPr>
      <w:r>
        <w:t>поступило/выбыло в разрезе профилей коек посуточно;</w:t>
      </w:r>
    </w:p>
    <w:p w14:paraId="6F248BE9">
      <w:pPr>
        <w:pStyle w:val="51"/>
      </w:pPr>
      <w:r>
        <w:t>общее количество поступивших/выбывших посуточно;</w:t>
      </w:r>
    </w:p>
    <w:p w14:paraId="68186187">
      <w:pPr>
        <w:pStyle w:val="51"/>
      </w:pPr>
      <w:r>
        <w:t>количество поступивших/выбывших нарастающим итогом.</w:t>
      </w:r>
    </w:p>
    <w:p w14:paraId="0A6269DD">
      <w:pPr>
        <w:pStyle w:val="48"/>
      </w:pPr>
      <w:r>
        <w:drawing>
          <wp:inline distT="0" distB="0" distL="0" distR="0">
            <wp:extent cx="6120765" cy="2859405"/>
            <wp:effectExtent l="19050" t="19050" r="13335" b="17145"/>
            <wp:docPr id="6018174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817483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8594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83F363">
      <w:pPr>
        <w:pStyle w:val="49"/>
      </w:pPr>
      <w:bookmarkStart w:id="814" w:name="_Ref2054768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184</w:t>
      </w:r>
      <w:r>
        <w:fldChar w:fldCharType="end"/>
      </w:r>
      <w:bookmarkEnd w:id="814"/>
      <w:r>
        <w:t xml:space="preserve"> — Графическое представление данных оборота коечного фонда. Панель «Поступившие, выбывшие нарастающим итогом». Режим «По орг. структуре»</w:t>
      </w:r>
    </w:p>
    <w:p w14:paraId="6D1D0E54">
      <w:pPr>
        <w:pStyle w:val="44"/>
      </w:pPr>
      <w:r>
        <w:t>Легенда визуализации — профили коек и цветовая индикация столбцов представления профилей коек МО на диаграмме — расположена в нижней части панели.</w:t>
      </w:r>
    </w:p>
    <w:p w14:paraId="0EBBA5FA">
      <w:pPr>
        <w:pStyle w:val="44"/>
      </w:pPr>
      <w:r>
        <w:t>По вертикали отображается:</w:t>
      </w:r>
    </w:p>
    <w:p w14:paraId="4FDB2C3B">
      <w:pPr>
        <w:pStyle w:val="51"/>
      </w:pPr>
      <w:r>
        <w:t>количество поступивших/выбывших нарастающим итогом,</w:t>
      </w:r>
    </w:p>
    <w:p w14:paraId="263CA70E">
      <w:pPr>
        <w:pStyle w:val="51"/>
      </w:pPr>
      <w:r>
        <w:t>посуточное количество коек по поступившим/выбывшим.</w:t>
      </w:r>
    </w:p>
    <w:p w14:paraId="7FE192D5">
      <w:pPr>
        <w:pStyle w:val="44"/>
      </w:pPr>
      <w:r>
        <w:t>На горизонтальной оси отображаются даты заданного временного периода.</w:t>
      </w:r>
    </w:p>
    <w:p w14:paraId="0BCAF1EA">
      <w:pPr>
        <w:pStyle w:val="44"/>
      </w:pPr>
      <w:r>
        <w:t xml:space="preserve">При наведении указателя на узлы графика (отрезок прямой) отображается дата и соответствующее графику значение поступивших/выбывших нарастающим итогом и общее количество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205476814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185</w:t>
      </w:r>
      <w:r>
        <w:rPr>
          <w:lang w:val="en-US"/>
        </w:rPr>
        <w:fldChar w:fldCharType="end"/>
      </w:r>
      <w:r>
        <w:t xml:space="preserve">, </w:t>
      </w:r>
      <w:r>
        <w:fldChar w:fldCharType="begin"/>
      </w:r>
      <w:r>
        <w:instrText xml:space="preserve"> REF  _Ref205542658 \h \t\#\0   \* MERGEFORMAT </w:instrText>
      </w:r>
      <w:r>
        <w:fldChar w:fldCharType="separate"/>
      </w:r>
      <w:r>
        <w:t>186</w:t>
      </w:r>
      <w:r>
        <w:fldChar w:fldCharType="end"/>
      </w:r>
      <w:r>
        <w:t>).</w:t>
      </w:r>
    </w:p>
    <w:p w14:paraId="03AF4D4B">
      <w:pPr>
        <w:pStyle w:val="44"/>
      </w:pPr>
      <w:r>
        <w:t xml:space="preserve">При наведении указателя на столбец диаграммы (профиль) отображается подсказка с детальным описанием параметров (рис. </w:t>
      </w:r>
      <w:r>
        <w:fldChar w:fldCharType="begin"/>
      </w:r>
      <w:r>
        <w:instrText xml:space="preserve"> REF  _Ref205886366 \h \t\#\0   \* MERGEFORMAT </w:instrText>
      </w:r>
      <w:r>
        <w:fldChar w:fldCharType="separate"/>
      </w:r>
      <w:r>
        <w:t>187</w:t>
      </w:r>
      <w:r>
        <w:fldChar w:fldCharType="end"/>
      </w:r>
      <w:r>
        <w:t>).</w:t>
      </w:r>
    </w:p>
    <w:p w14:paraId="7734DAF5">
      <w:pPr>
        <w:pStyle w:val="48"/>
      </w:pPr>
      <w:r>
        <w:drawing>
          <wp:inline distT="0" distB="0" distL="0" distR="0">
            <wp:extent cx="4679950" cy="1440815"/>
            <wp:effectExtent l="19050" t="19050" r="25400" b="26035"/>
            <wp:docPr id="8037168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16825" name="Рисунок 1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4408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1C0E95B">
      <w:pPr>
        <w:pStyle w:val="49"/>
      </w:pPr>
      <w:bookmarkStart w:id="815" w:name="_Ref2054768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185</w:t>
      </w:r>
      <w:r>
        <w:fldChar w:fldCharType="end"/>
      </w:r>
      <w:bookmarkEnd w:id="815"/>
      <w:r>
        <w:t xml:space="preserve"> — График поступивших</w:t>
      </w:r>
    </w:p>
    <w:p w14:paraId="20C527BF">
      <w:pPr>
        <w:pStyle w:val="48"/>
      </w:pPr>
      <w:r>
        <w:drawing>
          <wp:inline distT="0" distB="0" distL="0" distR="0">
            <wp:extent cx="3959860" cy="1313180"/>
            <wp:effectExtent l="19050" t="19050" r="21590" b="20320"/>
            <wp:docPr id="850507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07560" name="Рисунок 1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3137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6927C24">
      <w:pPr>
        <w:pStyle w:val="49"/>
        <w:rPr>
          <w:lang w:val="en-US"/>
        </w:rPr>
      </w:pPr>
      <w:bookmarkStart w:id="816" w:name="_Ref2055426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186</w:t>
      </w:r>
      <w:r>
        <w:fldChar w:fldCharType="end"/>
      </w:r>
      <w:bookmarkEnd w:id="816"/>
      <w:r>
        <w:t xml:space="preserve"> — График выбывших</w:t>
      </w:r>
    </w:p>
    <w:p w14:paraId="7CB13BEE">
      <w:pPr>
        <w:pStyle w:val="48"/>
      </w:pPr>
      <w:r>
        <w:drawing>
          <wp:inline distT="0" distB="0" distL="0" distR="0">
            <wp:extent cx="3657600" cy="1943100"/>
            <wp:effectExtent l="19050" t="19050" r="19050" b="19050"/>
            <wp:docPr id="18747824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782443" name="Рисунок 1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3658111" cy="194337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5504E9">
      <w:pPr>
        <w:pStyle w:val="49"/>
      </w:pPr>
      <w:bookmarkStart w:id="817" w:name="_Ref2058863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187</w:t>
      </w:r>
      <w:r>
        <w:fldChar w:fldCharType="end"/>
      </w:r>
      <w:bookmarkEnd w:id="817"/>
      <w:r>
        <w:t xml:space="preserve"> — Профиль койки</w:t>
      </w:r>
    </w:p>
    <w:p w14:paraId="76AA2466">
      <w:pPr>
        <w:pStyle w:val="44"/>
      </w:pPr>
      <w:r>
        <w:t>В правой верхней части обеих панелей расположены управляющие элементы «Все» и «Неделя».</w:t>
      </w:r>
    </w:p>
    <w:p w14:paraId="78436160">
      <w:pPr>
        <w:pStyle w:val="44"/>
      </w:pPr>
      <w:r>
        <w:t>Доступен выбор режима отображения на диаграмме заданного временного периода:</w:t>
      </w:r>
    </w:p>
    <w:p w14:paraId="4BFB97AF">
      <w:pPr>
        <w:pStyle w:val="51"/>
      </w:pPr>
      <w:r>
        <w:drawing>
          <wp:inline distT="0" distB="0" distL="0" distR="0">
            <wp:extent cx="359410" cy="236855"/>
            <wp:effectExtent l="19050" t="19050" r="21590" b="10795"/>
            <wp:docPr id="1394473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473402" name="Рисунок 1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37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«Все» — все данные за указанный период;</w:t>
      </w:r>
    </w:p>
    <w:p w14:paraId="0DF6FF80">
      <w:pPr>
        <w:pStyle w:val="51"/>
      </w:pPr>
      <w:r>
        <w:drawing>
          <wp:inline distT="0" distB="0" distL="0" distR="0">
            <wp:extent cx="539750" cy="220345"/>
            <wp:effectExtent l="19050" t="19050" r="12700" b="27305"/>
            <wp:docPr id="16757432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743210" name="Рисунок 1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205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по семь дней, начиная с даты начала периода.</w:t>
      </w:r>
    </w:p>
    <w:p w14:paraId="57B48CB1">
      <w:pPr>
        <w:pStyle w:val="44"/>
      </w:pPr>
      <w:r>
        <w:t xml:space="preserve">По умолчанию активна кнопка </w:t>
      </w:r>
      <w:r>
        <w:drawing>
          <wp:inline distT="0" distB="0" distL="0" distR="0">
            <wp:extent cx="359410" cy="236855"/>
            <wp:effectExtent l="19050" t="19050" r="21590" b="10795"/>
            <wp:docPr id="955506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506035" name="Рисунок 1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37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«Все» — отображаются сведения за все дни заданного периода.</w:t>
      </w:r>
    </w:p>
    <w:p w14:paraId="44864F2C">
      <w:pPr>
        <w:pStyle w:val="44"/>
      </w:pPr>
      <w:r>
        <w:t xml:space="preserve">В случае, если заданный период превышает неделю, перейти в режим «Неделя», нажав кнопку </w:t>
      </w:r>
      <w:r>
        <w:drawing>
          <wp:inline distT="0" distB="0" distL="0" distR="0">
            <wp:extent cx="575945" cy="234950"/>
            <wp:effectExtent l="19050" t="19050" r="14605" b="12700"/>
            <wp:docPr id="885900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900483" name="Рисунок 1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3526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«Неделя».</w:t>
      </w:r>
    </w:p>
    <w:p w14:paraId="6F9821E6">
      <w:pPr>
        <w:pStyle w:val="44"/>
      </w:pPr>
      <w:r>
        <w:t xml:space="preserve">Также для просмотра показателей всех дней заданного периода в режиме «Все» можно воспользоваться полосой прокрутки под диаграммой (рис. </w:t>
      </w:r>
      <w:r>
        <w:fldChar w:fldCharType="begin"/>
      </w:r>
      <w:r>
        <w:instrText xml:space="preserve"> REF  _Ref205989718 \h \t\#\0   \* MERGEFORMAT </w:instrText>
      </w:r>
      <w:r>
        <w:fldChar w:fldCharType="separate"/>
      </w:r>
      <w:r>
        <w:t>188</w:t>
      </w:r>
      <w:r>
        <w:fldChar w:fldCharType="end"/>
      </w:r>
      <w:r>
        <w:t>).</w:t>
      </w:r>
    </w:p>
    <w:p w14:paraId="3A59695E">
      <w:pPr>
        <w:pStyle w:val="48"/>
      </w:pPr>
      <w:r>
        <w:drawing>
          <wp:inline distT="0" distB="0" distL="0" distR="0">
            <wp:extent cx="6120765" cy="3743325"/>
            <wp:effectExtent l="19050" t="19050" r="13335" b="28575"/>
            <wp:docPr id="148874293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742938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7433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32C1BE2">
      <w:pPr>
        <w:pStyle w:val="49"/>
      </w:pPr>
      <w:bookmarkStart w:id="818" w:name="_Ref2059897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188</w:t>
      </w:r>
      <w:r>
        <w:fldChar w:fldCharType="end"/>
      </w:r>
      <w:bookmarkEnd w:id="818"/>
      <w:r>
        <w:t xml:space="preserve"> — Визуальная форма (посуточно). Режим отбора данных «По орг. структуре» «Всего». Панель «Занятость коечного фонда». Отображение периода «Неделя»</w:t>
      </w:r>
    </w:p>
    <w:p w14:paraId="1E3673B0">
      <w:pPr>
        <w:pStyle w:val="44"/>
      </w:pPr>
      <w:r>
        <w:t>Для отображения сведений о коечном фонде по договорам ОМС выбрать в панели «Фильтр» в блоке «Параметры отбора» режим «В ОМС» и нажать кнопку «Найти».</w:t>
      </w:r>
    </w:p>
    <w:p w14:paraId="1F8DAB98">
      <w:pPr>
        <w:pStyle w:val="40"/>
      </w:pPr>
      <w:bookmarkStart w:id="819" w:name="_Ref214553669"/>
      <w:r>
        <w:t>Просмотр данных коечного фонда по профилю</w:t>
      </w:r>
      <w:bookmarkEnd w:id="819"/>
    </w:p>
    <w:p w14:paraId="10CC329E">
      <w:pPr>
        <w:pStyle w:val="44"/>
      </w:pPr>
      <w:r>
        <w:t>Режим «По профилю» предназначен для просмотра информации об утилизации (занятости) коечного фонда конкретного профиля в разрезе структурных подразделений/отделений.</w:t>
      </w:r>
    </w:p>
    <w:p w14:paraId="04BE8E06">
      <w:pPr>
        <w:pStyle w:val="44"/>
      </w:pPr>
      <w:r>
        <w:t>Для перехода в режим установить переключатель «По профилю». (рис. </w:t>
      </w:r>
      <w:r>
        <w:fldChar w:fldCharType="begin"/>
      </w:r>
      <w:r>
        <w:instrText xml:space="preserve"> REF  _Ref205476839 \h\#\0   \* MERGEFORMAT </w:instrText>
      </w:r>
      <w:r>
        <w:fldChar w:fldCharType="separate"/>
      </w:r>
      <w:r>
        <w:t>189</w:t>
      </w:r>
      <w:r>
        <w:fldChar w:fldCharType="end"/>
      </w:r>
      <w:r>
        <w:t>).</w:t>
      </w:r>
    </w:p>
    <w:p w14:paraId="1D5B3F9E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2159635" cy="2406015"/>
            <wp:effectExtent l="19050" t="19050" r="12065" b="13335"/>
            <wp:docPr id="6304735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473536" name="Рисунок 1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40645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A45628">
      <w:pPr>
        <w:pStyle w:val="49"/>
      </w:pPr>
      <w:bookmarkStart w:id="820" w:name="_Ref2054768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189</w:t>
      </w:r>
      <w:r>
        <w:fldChar w:fldCharType="end"/>
      </w:r>
      <w:bookmarkEnd w:id="820"/>
      <w:r>
        <w:t xml:space="preserve"> — Панель «Фильтр». Отображение «Всего» в режиме отбора данных «По профилю»</w:t>
      </w:r>
    </w:p>
    <w:p w14:paraId="4B8A1A7E">
      <w:pPr>
        <w:pStyle w:val="44"/>
      </w:pPr>
      <w:r>
        <w:t>Блок «Параметры отбора» в режиме «Всего» содержит следующие параметры отбора:</w:t>
      </w:r>
    </w:p>
    <w:p w14:paraId="0C272513">
      <w:pPr>
        <w:pStyle w:val="51"/>
      </w:pPr>
      <w:r>
        <w:t>«Профиль» — профиль койки;</w:t>
      </w:r>
    </w:p>
    <w:p w14:paraId="2AFF108E">
      <w:pPr>
        <w:pStyle w:val="51"/>
      </w:pPr>
      <w:r>
        <w:t>«Структурное подразделение — структурное подразделение МО по данным ФРМО;</w:t>
      </w:r>
    </w:p>
    <w:p w14:paraId="162ACED0">
      <w:pPr>
        <w:pStyle w:val="51"/>
      </w:pPr>
      <w:r>
        <w:t>диапазон дат, по которому требуется произвести фильтрацию:</w:t>
      </w:r>
    </w:p>
    <w:p w14:paraId="034CB006">
      <w:pPr>
        <w:pStyle w:val="77"/>
        <w:ind w:left="1134"/>
      </w:pPr>
      <w:r>
        <w:t>«Дата (с)» — обязательный параметр. Учитываются сведения с 09:00 истекших суток до 09:00 даты поиска;</w:t>
      </w:r>
    </w:p>
    <w:p w14:paraId="30097AF9">
      <w:pPr>
        <w:pStyle w:val="77"/>
        <w:ind w:left="1134"/>
      </w:pPr>
      <w:r>
        <w:t>«Дата (по)» — обязательный параметр. Учитываются сведения с 09:00 истекших суток до 09:00 даты поиска.</w:t>
      </w:r>
    </w:p>
    <w:p w14:paraId="76BF5D0D">
      <w:pPr>
        <w:pStyle w:val="44"/>
      </w:pPr>
      <w:r>
        <w:t>В режиме «По профилю» «В ОМС» блок «Фильтр» содержит дополнительный параметр отбора «ТПГ и ПГГ» (рис. </w:t>
      </w:r>
      <w:r>
        <w:fldChar w:fldCharType="begin"/>
      </w:r>
      <w:r>
        <w:instrText xml:space="preserve"> REF  _Ref205989745 \h \t\#\0   \* MERGEFORMAT </w:instrText>
      </w:r>
      <w:r>
        <w:fldChar w:fldCharType="separate"/>
      </w:r>
      <w:r>
        <w:t>190</w:t>
      </w:r>
      <w:r>
        <w:fldChar w:fldCharType="end"/>
      </w:r>
      <w:r>
        <w:t>).</w:t>
      </w:r>
    </w:p>
    <w:p w14:paraId="2661AE37">
      <w:pPr>
        <w:pStyle w:val="48"/>
      </w:pPr>
      <w:r>
        <w:drawing>
          <wp:inline distT="0" distB="0" distL="0" distR="0">
            <wp:extent cx="2159635" cy="2769235"/>
            <wp:effectExtent l="19050" t="19050" r="12065" b="12065"/>
            <wp:docPr id="8022750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275052" name="Рисунок 1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698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653C71">
      <w:pPr>
        <w:pStyle w:val="49"/>
      </w:pPr>
      <w:bookmarkStart w:id="821" w:name="_Ref2059897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190</w:t>
      </w:r>
      <w:r>
        <w:fldChar w:fldCharType="end"/>
      </w:r>
      <w:bookmarkEnd w:id="821"/>
      <w:r>
        <w:t xml:space="preserve"> — Блок «Фильтр». Режим отбора данных «По профилю» «В ОМС»</w:t>
      </w:r>
    </w:p>
    <w:p w14:paraId="22CC60F7">
      <w:pPr>
        <w:pStyle w:val="44"/>
      </w:pPr>
      <w:r>
        <w:t>Задать значения в обязательных полях, отмеченных символом «*», указав профиль и период и нажать кнопку «Найти».</w:t>
      </w:r>
    </w:p>
    <w:p w14:paraId="15B0BA20">
      <w:pPr>
        <w:pStyle w:val="44"/>
      </w:pPr>
      <w:r>
        <w:t>В рабочей области на визуальной форме посуточно отобразятся данные занятости коечного фонда по профилю согласно заданным критериям в разрезе структурных подразделений/отделений.</w:t>
      </w:r>
    </w:p>
    <w:p w14:paraId="37E121A9">
      <w:pPr>
        <w:pStyle w:val="48"/>
      </w:pPr>
      <w:r>
        <w:drawing>
          <wp:inline distT="0" distB="0" distL="0" distR="0">
            <wp:extent cx="6119495" cy="3259455"/>
            <wp:effectExtent l="19050" t="19050" r="14605" b="17145"/>
            <wp:docPr id="9854242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424264" name="Рисунок 1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94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D52789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191</w:t>
      </w:r>
      <w:r>
        <w:fldChar w:fldCharType="end"/>
      </w:r>
      <w:r>
        <w:t xml:space="preserve"> — Визуальная форма (посуточно). Отбор данных «По профилю» в режиме «Всего»</w:t>
      </w:r>
    </w:p>
    <w:p w14:paraId="565A9620">
      <w:pPr>
        <w:pStyle w:val="44"/>
      </w:pPr>
      <w:r>
        <w:t>В верхней части отображается информационная панель «Занятость коечного фонда» с посуточным графиком общей утилизации (занятости) коечного фонда:</w:t>
      </w:r>
    </w:p>
    <w:p w14:paraId="6C3E1DEB">
      <w:pPr>
        <w:pStyle w:val="51"/>
      </w:pPr>
      <w:r>
        <w:t>по вертикали — количество коек и общая утилизация коечного фонда;</w:t>
      </w:r>
    </w:p>
    <w:p w14:paraId="260EA779">
      <w:pPr>
        <w:pStyle w:val="51"/>
      </w:pPr>
      <w:r>
        <w:t>по горизонтали — даты заданного периода.</w:t>
      </w:r>
    </w:p>
    <w:p w14:paraId="1B3BA467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6119495" cy="1820545"/>
            <wp:effectExtent l="19050" t="19050" r="14605" b="27305"/>
            <wp:docPr id="9327476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747624" name="Рисунок 1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205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1EB5EB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192</w:t>
      </w:r>
      <w:r>
        <w:fldChar w:fldCharType="end"/>
      </w:r>
      <w:r>
        <w:t xml:space="preserve"> — Визуальная форма (посуточно). Отбор данных «По профилю» в режиме «Всего». Занятость коечного фонда</w:t>
      </w:r>
    </w:p>
    <w:p w14:paraId="6735E28B">
      <w:pPr>
        <w:pStyle w:val="44"/>
      </w:pPr>
      <w:r>
        <w:t xml:space="preserve">При наведении указателя на график (отрезок прямой) или столбец (рис. </w:t>
      </w:r>
      <w:r>
        <w:fldChar w:fldCharType="begin"/>
      </w:r>
      <w:r>
        <w:instrText xml:space="preserve"> REF  _Ref205550224 \h\#\0   \* MERGEFORMAT </w:instrText>
      </w:r>
      <w:r>
        <w:fldChar w:fldCharType="separate"/>
      </w:r>
      <w:r>
        <w:t>193</w:t>
      </w:r>
      <w:r>
        <w:fldChar w:fldCharType="end"/>
      </w:r>
      <w:r>
        <w:t>) отображается подсказка:</w:t>
      </w:r>
    </w:p>
    <w:p w14:paraId="1940D719">
      <w:pPr>
        <w:pStyle w:val="51"/>
      </w:pPr>
      <w:r>
        <w:t>дата;</w:t>
      </w:r>
    </w:p>
    <w:p w14:paraId="6788A36F">
      <w:pPr>
        <w:pStyle w:val="51"/>
      </w:pPr>
      <w:r>
        <w:t>код, наименование структурного подразделения и количество (всего) коек подразделения;</w:t>
      </w:r>
    </w:p>
    <w:p w14:paraId="7FF2D2DB">
      <w:pPr>
        <w:pStyle w:val="51"/>
      </w:pPr>
      <w:r>
        <w:t>код, наименование структурного подразделения и количество (занято) коек подразделения.</w:t>
      </w:r>
    </w:p>
    <w:p w14:paraId="21900D3A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5039995" cy="1651000"/>
            <wp:effectExtent l="19050" t="19050" r="8255" b="25400"/>
            <wp:docPr id="5552571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257164" name="Рисунок 1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65148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E5832AD">
      <w:pPr>
        <w:pStyle w:val="49"/>
      </w:pPr>
      <w:bookmarkStart w:id="822" w:name="_Ref2055502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193</w:t>
      </w:r>
      <w:r>
        <w:fldChar w:fldCharType="end"/>
      </w:r>
      <w:bookmarkEnd w:id="822"/>
      <w:r>
        <w:t xml:space="preserve"> — Визуальная форма (посуточно). Отбор данных «По профилю» в режиме «Всего». Всплывающая подсказка</w:t>
      </w:r>
    </w:p>
    <w:p w14:paraId="089CF111">
      <w:pPr>
        <w:pStyle w:val="44"/>
      </w:pPr>
      <w:r>
        <w:t>В нижней части отображается информационная панель «Поступившие, выбывшие нарастающим итогом» с парциальными посуточными данными, поступивших и выбывших в разрезе структурных подразделений/отделений, и графиками:</w:t>
      </w:r>
    </w:p>
    <w:p w14:paraId="07D8C0F7">
      <w:pPr>
        <w:pStyle w:val="51"/>
      </w:pPr>
      <w:r>
        <w:t>поступивших (всего);</w:t>
      </w:r>
    </w:p>
    <w:p w14:paraId="216F8884">
      <w:pPr>
        <w:pStyle w:val="51"/>
      </w:pPr>
      <w:r>
        <w:t>выбывших (всего);</w:t>
      </w:r>
    </w:p>
    <w:p w14:paraId="4ED5000D">
      <w:pPr>
        <w:pStyle w:val="51"/>
      </w:pPr>
      <w:r>
        <w:t>нарастающего итога поступивших;</w:t>
      </w:r>
    </w:p>
    <w:p w14:paraId="5C6FD33B">
      <w:pPr>
        <w:pStyle w:val="51"/>
      </w:pPr>
      <w:r>
        <w:t>нарастающего итога выбывших.</w:t>
      </w:r>
    </w:p>
    <w:p w14:paraId="49075679">
      <w:pPr>
        <w:pStyle w:val="44"/>
        <w:keepNext/>
      </w:pPr>
      <w:r>
        <w:t>При этом:</w:t>
      </w:r>
    </w:p>
    <w:p w14:paraId="398D4A35">
      <w:pPr>
        <w:pStyle w:val="51"/>
      </w:pPr>
      <w:r>
        <w:t>по вертикали:</w:t>
      </w:r>
    </w:p>
    <w:p w14:paraId="7C649C75">
      <w:pPr>
        <w:pStyle w:val="77"/>
        <w:ind w:left="1134"/>
      </w:pPr>
      <w:r>
        <w:t>количество коек нарастающим итогом,</w:t>
      </w:r>
    </w:p>
    <w:p w14:paraId="3AD3201A">
      <w:pPr>
        <w:pStyle w:val="77"/>
        <w:ind w:left="1134"/>
      </w:pPr>
      <w:r>
        <w:t>посуточное количество коек;</w:t>
      </w:r>
    </w:p>
    <w:p w14:paraId="508358FD">
      <w:pPr>
        <w:pStyle w:val="51"/>
      </w:pPr>
      <w:r>
        <w:t>по горизонтали — даты заданного периода.</w:t>
      </w:r>
    </w:p>
    <w:p w14:paraId="59F9D00E">
      <w:pPr>
        <w:pStyle w:val="44"/>
      </w:pPr>
      <w:r>
        <w:t>Каждая информационная панель в нижней части содержит легенду визуализации.</w:t>
      </w:r>
    </w:p>
    <w:p w14:paraId="5FAF835F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6119495" cy="2988945"/>
            <wp:effectExtent l="19050" t="19050" r="14605" b="20955"/>
            <wp:docPr id="8049890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989083" name="Рисунок 1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889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B4FCEFE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194</w:t>
      </w:r>
      <w:r>
        <w:fldChar w:fldCharType="end"/>
      </w:r>
      <w:r>
        <w:t xml:space="preserve"> — </w:t>
      </w:r>
      <w:bookmarkStart w:id="823" w:name="_Hlk205903931"/>
      <w:r>
        <w:t>Графическое представление данных оборота коечного фонда. Панель «Поступившие, выбывшие нарастающим итогом». Режим «По профилю»</w:t>
      </w:r>
      <w:bookmarkEnd w:id="823"/>
    </w:p>
    <w:p w14:paraId="6FC4CD4C">
      <w:pPr>
        <w:pStyle w:val="44"/>
      </w:pPr>
      <w:r>
        <w:t>При выборе режима отбора «В ОМС» по вертикали вместо количества заявленных коек всего отображается количество заявленных коек в ОМС.</w:t>
      </w:r>
    </w:p>
    <w:p w14:paraId="6C04D385">
      <w:pPr>
        <w:pStyle w:val="44"/>
      </w:pPr>
      <w:r>
        <w:t xml:space="preserve">Для просмотра сведений одного структурного подразделения нажать в цветовой легенде на область структурного подразделения. На визуальной форме отобразится столбовая диаграмма только со сведениями по выделенному структурному подразделению (рис. </w:t>
      </w:r>
      <w:r>
        <w:fldChar w:fldCharType="begin"/>
      </w:r>
      <w:r>
        <w:instrText xml:space="preserve"> REF  _Ref205549200 \h \t\#\0   \* MERGEFORMAT </w:instrText>
      </w:r>
      <w:r>
        <w:fldChar w:fldCharType="separate"/>
      </w:r>
      <w:r>
        <w:t>195</w:t>
      </w:r>
      <w:r>
        <w:fldChar w:fldCharType="end"/>
      </w:r>
      <w:r>
        <w:t>).</w:t>
      </w:r>
    </w:p>
    <w:p w14:paraId="51BF0B92">
      <w:pPr>
        <w:pStyle w:val="48"/>
      </w:pPr>
    </w:p>
    <w:p w14:paraId="10337959">
      <w:pPr>
        <w:pStyle w:val="48"/>
      </w:pPr>
      <w:r>
        <w:drawing>
          <wp:inline distT="0" distB="0" distL="0" distR="0">
            <wp:extent cx="6119495" cy="2997200"/>
            <wp:effectExtent l="19050" t="19050" r="14605" b="12700"/>
            <wp:docPr id="5293975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397553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9756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C311B1">
      <w:pPr>
        <w:pStyle w:val="49"/>
      </w:pPr>
      <w:bookmarkStart w:id="824" w:name="_Ref2055492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195</w:t>
      </w:r>
      <w:r>
        <w:fldChar w:fldCharType="end"/>
      </w:r>
      <w:bookmarkEnd w:id="824"/>
      <w:r>
        <w:t xml:space="preserve"> — Графическое представление данных оборота коечного фонда. Панель «Поступившие, выбывшие нарастающим итогом». Режим «По профилю». Сведения в разрезе одного структурного подразделения</w:t>
      </w:r>
    </w:p>
    <w:p w14:paraId="5C89FDD8">
      <w:pPr>
        <w:pStyle w:val="39"/>
      </w:pPr>
      <w:bookmarkStart w:id="825" w:name="_Toc225871549"/>
      <w:r>
        <w:t>Просмотр сведений об обороте коечного фонда за период</w:t>
      </w:r>
      <w:bookmarkEnd w:id="809"/>
      <w:bookmarkEnd w:id="825"/>
    </w:p>
    <w:p w14:paraId="43028C9C">
      <w:pPr>
        <w:pStyle w:val="44"/>
      </w:pPr>
      <w:r>
        <w:t xml:space="preserve">Вкладка «Показатели оборота за период» позволяет получить сведения об обороте коечного фонда за указанный в параметрах отбора интервал дат в графическом интерфейсе пользователя, а также в форме отчета, в формате </w:t>
      </w:r>
      <w:r>
        <w:rPr>
          <w:lang w:val="en-US"/>
        </w:rPr>
        <w:t>XLSX</w:t>
      </w:r>
      <w:r>
        <w:t>.</w:t>
      </w:r>
    </w:p>
    <w:p w14:paraId="5976F2E5">
      <w:pPr>
        <w:pStyle w:val="44"/>
      </w:pPr>
      <w:r>
        <w:t>Информационная строка подраздела содержит наименование подраздела «Коечный фонд», количество отображаемых записей, кнопку «Обновить». Кнопка «Обновить» повторяет последний запрос к подсистеме с учетом параметров отбора, заданных в последнем выполненном запросе.</w:t>
      </w:r>
    </w:p>
    <w:p w14:paraId="6CB6D10E">
      <w:pPr>
        <w:pStyle w:val="44"/>
      </w:pPr>
      <w:r>
        <w:t xml:space="preserve">Параметры отбора данных задаются в блоке «Фильтр» (рис. </w:t>
      </w:r>
      <w:r>
        <w:fldChar w:fldCharType="begin"/>
      </w:r>
      <w:r>
        <w:instrText xml:space="preserve"> REF  _Ref182932667 \h \t\#\0 \* MERGEFORMAT </w:instrText>
      </w:r>
      <w:r>
        <w:fldChar w:fldCharType="separate"/>
      </w:r>
      <w:r>
        <w:t>196</w:t>
      </w:r>
      <w:r>
        <w:fldChar w:fldCharType="end"/>
      </w:r>
      <w:r>
        <w:t>).</w:t>
      </w:r>
    </w:p>
    <w:p w14:paraId="34D3675F">
      <w:pPr>
        <w:pStyle w:val="44"/>
      </w:pPr>
      <w:r>
        <w:t xml:space="preserve">В блоке «Фильтр» (рис. </w:t>
      </w:r>
      <w:r>
        <w:fldChar w:fldCharType="begin"/>
      </w:r>
      <w:r>
        <w:instrText xml:space="preserve"> REF  _Ref182932667 \h \t\#\0 \* MERGEFORMAT </w:instrText>
      </w:r>
      <w:r>
        <w:fldChar w:fldCharType="separate"/>
      </w:r>
      <w:r>
        <w:t>196</w:t>
      </w:r>
      <w:r>
        <w:fldChar w:fldCharType="end"/>
      </w:r>
      <w:r>
        <w:t>) задать параметры отбора. Поля дат начала и окончания периода просмотра являются обязательными для заполнения.</w:t>
      </w:r>
    </w:p>
    <w:p w14:paraId="2D31707E">
      <w:pPr>
        <w:pStyle w:val="44"/>
      </w:pPr>
      <w:r>
        <w:t>В блоке «Параметры отбора» доступен выбор параметров:</w:t>
      </w:r>
    </w:p>
    <w:p w14:paraId="36757D24">
      <w:pPr>
        <w:pStyle w:val="51"/>
      </w:pPr>
      <w:r>
        <w:t>«Структурное подразделение» — структурное подразделение МО по данным ФРМО;</w:t>
      </w:r>
    </w:p>
    <w:p w14:paraId="544E94BC">
      <w:pPr>
        <w:pStyle w:val="51"/>
      </w:pPr>
      <w:r>
        <w:t>«Отделение» — отделение МО по данным ФРМО, зависит от выбранного структурного подразделения;</w:t>
      </w:r>
    </w:p>
    <w:p w14:paraId="65ACD526">
      <w:pPr>
        <w:pStyle w:val="51"/>
      </w:pPr>
      <w:r>
        <w:t>«Профиль» — профиль койки МО по данным ФРМО;</w:t>
      </w:r>
    </w:p>
    <w:p w14:paraId="3279FF60">
      <w:pPr>
        <w:pStyle w:val="51"/>
      </w:pPr>
      <w:r>
        <w:t>«Дата (с)» — обязательный параметр. Учитываются сведения с 09:00 истекших суток до 09:00 даты поиска;</w:t>
      </w:r>
    </w:p>
    <w:p w14:paraId="0D46E749">
      <w:pPr>
        <w:pStyle w:val="51"/>
      </w:pPr>
      <w:r>
        <w:t>«Дата (по)» — обязательный параметр. Учитываются сведения с 09:00 истекших суток до 09:00 даты поиска.</w:t>
      </w:r>
    </w:p>
    <w:p w14:paraId="6AC0D720">
      <w:pPr>
        <w:pStyle w:val="44"/>
      </w:pPr>
    </w:p>
    <w:p w14:paraId="43C815D8">
      <w:pPr>
        <w:pStyle w:val="48"/>
      </w:pPr>
      <w:r>
        <w:drawing>
          <wp:inline distT="0" distB="0" distL="0" distR="0">
            <wp:extent cx="2519680" cy="2603500"/>
            <wp:effectExtent l="19050" t="19050" r="13970" b="25400"/>
            <wp:docPr id="19154725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472543" name="Рисунок 1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60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F44648F">
      <w:pPr>
        <w:pStyle w:val="49"/>
      </w:pPr>
      <w:bookmarkStart w:id="826" w:name="_Ref1829326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196</w:t>
      </w:r>
      <w:r>
        <w:fldChar w:fldCharType="end"/>
      </w:r>
      <w:bookmarkEnd w:id="826"/>
      <w:r>
        <w:t xml:space="preserve"> — Параметры отбора данных вкладки «Показатели оборота за период»</w:t>
      </w:r>
    </w:p>
    <w:p w14:paraId="69A816CD">
      <w:pPr>
        <w:pStyle w:val="44"/>
        <w:rPr>
          <w:lang w:val="en-US"/>
        </w:rPr>
      </w:pPr>
      <w:r>
        <w:t xml:space="preserve">После задания необходимых параметров отбора данных, включая обязательные параметры, отмеченные символом «*», нажмите «Найти». Результаты отбора и агрегации данных отображаются в рабочей области (рис. </w:t>
      </w:r>
      <w:r>
        <w:fldChar w:fldCharType="begin"/>
      </w:r>
      <w:r>
        <w:instrText xml:space="preserve"> REF  _Ref182932719 \h \t\#\0 \* MERGEFORMAT </w:instrText>
      </w:r>
      <w:r>
        <w:fldChar w:fldCharType="separate"/>
      </w:r>
      <w:r>
        <w:t>197</w:t>
      </w:r>
      <w:r>
        <w:fldChar w:fldCharType="end"/>
      </w:r>
      <w:r>
        <w:t>)</w:t>
      </w:r>
      <w:r>
        <w:rPr>
          <w:lang w:val="en-US"/>
        </w:rPr>
        <w:t>.</w:t>
      </w:r>
    </w:p>
    <w:p w14:paraId="0CEBBE0E">
      <w:pPr>
        <w:pStyle w:val="48"/>
      </w:pPr>
      <w:r>
        <w:drawing>
          <wp:inline distT="0" distB="0" distL="0" distR="0">
            <wp:extent cx="6119495" cy="2991485"/>
            <wp:effectExtent l="19050" t="19050" r="14605" b="18415"/>
            <wp:docPr id="19342809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280923" name="Рисунок 1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914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FAD7E60">
      <w:pPr>
        <w:pStyle w:val="49"/>
      </w:pPr>
      <w:bookmarkStart w:id="827" w:name="_Ref1829327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197</w:t>
      </w:r>
      <w:r>
        <w:fldChar w:fldCharType="end"/>
      </w:r>
      <w:bookmarkEnd w:id="827"/>
      <w:r>
        <w:t xml:space="preserve"> — Результаты отбора и агрегации данных на вкладке «Показатели оборота за период»</w:t>
      </w:r>
    </w:p>
    <w:p w14:paraId="7EF91C3C">
      <w:pPr>
        <w:pStyle w:val="44"/>
      </w:pPr>
      <w:r>
        <w:t>Информационная строка содержит количество найденных записей, дату и время последнего обновления и кнопку «Обновить». Кнопка «Обновить» повторяет последний запрос к подсистеме с учетом параметров отбора, заданных в последнем выполненном запросе.</w:t>
      </w:r>
    </w:p>
    <w:p w14:paraId="35BD1565">
      <w:pPr>
        <w:pStyle w:val="44"/>
      </w:pPr>
      <w:r>
        <w:t>В табличной части по умолчанию отображаются следующие сведения:</w:t>
      </w:r>
    </w:p>
    <w:p w14:paraId="31EA973D">
      <w:pPr>
        <w:pStyle w:val="51"/>
      </w:pPr>
      <w:r>
        <w:t>«Профиль койки» — код и наименование профиля койки МО по данным ФРМО;</w:t>
      </w:r>
    </w:p>
    <w:p w14:paraId="0FB8C6F2">
      <w:pPr>
        <w:pStyle w:val="51"/>
      </w:pPr>
      <w:r>
        <w:t>«Среднее число дней занятости коек в периоде» — количество дней в движении отделения/Количество заявленных коек;</w:t>
      </w:r>
    </w:p>
    <w:p w14:paraId="3EB4E5D7">
      <w:pPr>
        <w:pStyle w:val="51"/>
      </w:pPr>
      <w:r>
        <w:t>«Количество госпитализаций на койки» — количество поступивших пациентов за период с детализацией в разрезе:</w:t>
      </w:r>
    </w:p>
    <w:p w14:paraId="3CE23E39">
      <w:pPr>
        <w:pStyle w:val="77"/>
        <w:ind w:left="1134"/>
      </w:pPr>
      <w:r>
        <w:t>«Количество»;</w:t>
      </w:r>
    </w:p>
    <w:p w14:paraId="4E79F7BC">
      <w:pPr>
        <w:pStyle w:val="77"/>
        <w:ind w:left="1134"/>
      </w:pPr>
      <w:r>
        <w:t>«ТПГГ и ПГГ» — код МО в ОМС;</w:t>
      </w:r>
    </w:p>
    <w:p w14:paraId="3821B7C5">
      <w:pPr>
        <w:pStyle w:val="77"/>
        <w:ind w:left="1134"/>
      </w:pPr>
      <w:r>
        <w:t>«Всего»;</w:t>
      </w:r>
    </w:p>
    <w:p w14:paraId="0093DD8E">
      <w:pPr>
        <w:pStyle w:val="51"/>
      </w:pPr>
      <w:r>
        <w:t>«Количество выбывших с коек» — количество выписанных пациентов за период с детализацией в разрезе:</w:t>
      </w:r>
    </w:p>
    <w:p w14:paraId="43A75406">
      <w:pPr>
        <w:pStyle w:val="77"/>
        <w:ind w:left="1134"/>
      </w:pPr>
      <w:r>
        <w:t>«Количество»;</w:t>
      </w:r>
    </w:p>
    <w:p w14:paraId="054F2FF1">
      <w:pPr>
        <w:pStyle w:val="77"/>
        <w:ind w:left="1134"/>
      </w:pPr>
      <w:r>
        <w:t>«ТПГГ и ПГГ» — код МО в ОМС;</w:t>
      </w:r>
    </w:p>
    <w:p w14:paraId="49EEF39C">
      <w:pPr>
        <w:pStyle w:val="77"/>
        <w:ind w:left="1134"/>
      </w:pPr>
      <w:r>
        <w:t>«Всего»;</w:t>
      </w:r>
    </w:p>
    <w:p w14:paraId="6F049750">
      <w:pPr>
        <w:pStyle w:val="51"/>
      </w:pPr>
      <w:r>
        <w:t>«Оборот коек» — показатель интенсивности использования коечного фонда, рассчитываемый как отношение общего числа пролеченных пациентов (поступившие + выбывшие + умершие) к удвоенному среднегодовому количеству коек. Отражает частоту сменяемости пациентов на одной койке за определенный период и применяется для анализа эффективности работы стационара;</w:t>
      </w:r>
    </w:p>
    <w:p w14:paraId="1E2DCAA1">
      <w:pPr>
        <w:pStyle w:val="51"/>
      </w:pPr>
      <w:r>
        <w:t>«Средняя продолжительность нахождения пациента на койке в стационаре» — рассчитывается как общее количество койко-дней за год, поделенное на число выбывших пациентов (включая выписанных и умерших). Этот показатель помогает оценить, сколько дней в среднем занимает лечение одного пациента.</w:t>
      </w:r>
    </w:p>
    <w:p w14:paraId="5DC351FC">
      <w:pPr>
        <w:pStyle w:val="44"/>
      </w:pPr>
      <w:r>
        <w:t xml:space="preserve">Часть столбцов скрыта. Для просмотра всех показателей воспользоваться элементом управления </w:t>
      </w:r>
      <w:r>
        <w:drawing>
          <wp:inline distT="0" distB="0" distL="0" distR="0">
            <wp:extent cx="179705" cy="191770"/>
            <wp:effectExtent l="19050" t="19050" r="10795" b="17780"/>
            <wp:docPr id="2031113846" name="Рисунок 2031113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113846" name="Рисунок 20311138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и выбрать в панели настройки показатели для отображения в графическом интерфейсе пользователя. Для просмотра всех показателей воспользоваться полосой прокрутки справа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205989319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198</w:t>
      </w:r>
      <w:r>
        <w:rPr>
          <w:lang w:val="en-US"/>
        </w:rPr>
        <w:fldChar w:fldCharType="end"/>
      </w:r>
      <w:r>
        <w:t>).</w:t>
      </w:r>
    </w:p>
    <w:p w14:paraId="292D2609">
      <w:pPr>
        <w:pStyle w:val="46"/>
      </w:pPr>
      <w:r>
        <w:rPr>
          <w:rStyle w:val="47"/>
        </w:rPr>
        <w:t>Примечание</w:t>
      </w:r>
      <w:r>
        <w:t xml:space="preserve"> — При формировании отчета выгружаются данные оборота коечного фонда по всем показателям, </w:t>
      </w:r>
      <w:bookmarkStart w:id="828" w:name="_Hlk214555983"/>
      <w:r>
        <w:t>в том числе скрытым в графическом интерфейсе пользователя</w:t>
      </w:r>
      <w:bookmarkEnd w:id="828"/>
      <w:r>
        <w:t>.</w:t>
      </w:r>
    </w:p>
    <w:p w14:paraId="4418F9EA">
      <w:pPr>
        <w:pStyle w:val="48"/>
      </w:pPr>
      <w:r>
        <w:drawing>
          <wp:inline distT="0" distB="0" distL="0" distR="0">
            <wp:extent cx="2343150" cy="3057525"/>
            <wp:effectExtent l="19050" t="19050" r="19050" b="28575"/>
            <wp:docPr id="1308877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877022" name="Рисунок 1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05795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386D43">
      <w:pPr>
        <w:pStyle w:val="49"/>
      </w:pPr>
      <w:bookmarkStart w:id="829" w:name="_Ref2059893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198</w:t>
      </w:r>
      <w:r>
        <w:fldChar w:fldCharType="end"/>
      </w:r>
      <w:bookmarkEnd w:id="829"/>
      <w:r>
        <w:t xml:space="preserve"> — Настройка отображения данных оборота коечного фонда в графическом интерфейсе пользователя</w:t>
      </w:r>
    </w:p>
    <w:p w14:paraId="48C4625B">
      <w:pPr>
        <w:pStyle w:val="44"/>
      </w:pPr>
      <w:r>
        <w:t>Показатели, скрытые по умолчанию:</w:t>
      </w:r>
    </w:p>
    <w:p w14:paraId="30FE0DAF">
      <w:pPr>
        <w:pStyle w:val="51"/>
      </w:pPr>
      <w:r>
        <w:t>«Код субъекта МО»;</w:t>
      </w:r>
    </w:p>
    <w:p w14:paraId="1D5FB723">
      <w:pPr>
        <w:pStyle w:val="51"/>
      </w:pPr>
      <w:r>
        <w:t>«Наименование субъекта»;</w:t>
      </w:r>
    </w:p>
    <w:p w14:paraId="7C0174E8">
      <w:pPr>
        <w:pStyle w:val="51"/>
      </w:pPr>
      <w:r>
        <w:t>«OID медицинской организации» — код медицинской организации по справочнику ФРМО;</w:t>
      </w:r>
    </w:p>
    <w:p w14:paraId="5EEED527">
      <w:pPr>
        <w:pStyle w:val="51"/>
      </w:pPr>
      <w:r>
        <w:t>«Краткое наим. мед. организации»;</w:t>
      </w:r>
    </w:p>
    <w:p w14:paraId="0B74102A">
      <w:pPr>
        <w:pStyle w:val="51"/>
      </w:pPr>
      <w:r>
        <w:t>«OID структурного подразделения» — код структурного подразделения по справочнику ФРМО;</w:t>
      </w:r>
    </w:p>
    <w:p w14:paraId="7E9CCA4F">
      <w:pPr>
        <w:pStyle w:val="51"/>
      </w:pPr>
      <w:r>
        <w:t>«Наим. структурного подразделения»;</w:t>
      </w:r>
    </w:p>
    <w:p w14:paraId="600A3B99">
      <w:pPr>
        <w:pStyle w:val="51"/>
      </w:pPr>
      <w:r>
        <w:t>«OID отделения» — код отделения по справочнику ФРМО;</w:t>
      </w:r>
    </w:p>
    <w:p w14:paraId="039D4303">
      <w:pPr>
        <w:pStyle w:val="51"/>
      </w:pPr>
      <w:r>
        <w:t>«Тип отделения» — данные по справочнику ФРМО;</w:t>
      </w:r>
    </w:p>
    <w:p w14:paraId="4320892E">
      <w:pPr>
        <w:pStyle w:val="51"/>
      </w:pPr>
      <w:r>
        <w:t>«Наим. типа отделения»;</w:t>
      </w:r>
    </w:p>
    <w:p w14:paraId="523B814D">
      <w:pPr>
        <w:pStyle w:val="51"/>
      </w:pPr>
      <w:r>
        <w:t>«Условия оказания МП» — код и наименование условий оказания медицинской помощи;</w:t>
      </w:r>
    </w:p>
    <w:p w14:paraId="4FDC4DC6">
      <w:pPr>
        <w:pStyle w:val="51"/>
      </w:pPr>
      <w:r>
        <w:t>«Категория обслуживаемого населения» — код и наименование категории обслуживаемого населения. Возможный варианты:</w:t>
      </w:r>
    </w:p>
    <w:p w14:paraId="51A086DC">
      <w:pPr>
        <w:pStyle w:val="77"/>
        <w:ind w:left="1134"/>
      </w:pPr>
      <w:r>
        <w:t>«1» — отделение обслуживает только взрослых;</w:t>
      </w:r>
    </w:p>
    <w:p w14:paraId="16628F46">
      <w:pPr>
        <w:pStyle w:val="77"/>
        <w:ind w:left="1134"/>
      </w:pPr>
      <w:r>
        <w:t>«2» — отделение обслуживает только детей;</w:t>
      </w:r>
    </w:p>
    <w:p w14:paraId="5E1F32BD">
      <w:pPr>
        <w:pStyle w:val="77"/>
        <w:ind w:left="1134"/>
      </w:pPr>
      <w:r>
        <w:t>«3» — отделение обслуживает и взрослых, и детей.</w:t>
      </w:r>
    </w:p>
    <w:p w14:paraId="6DEA7358">
      <w:pPr>
        <w:pStyle w:val="44"/>
      </w:pPr>
      <w:r>
        <w:t>Для просмотра всех данных в столбцах табличной части воспользоваться полосой прокрутки в нижней части страницы.</w:t>
      </w:r>
    </w:p>
    <w:p w14:paraId="5657EC61">
      <w:pPr>
        <w:pStyle w:val="44"/>
      </w:pPr>
      <w:r>
        <w:t>Для просмотра всех записей воспользоваться полосой прокрутки справа.</w:t>
      </w:r>
    </w:p>
    <w:p w14:paraId="0614375C">
      <w:pPr>
        <w:pStyle w:val="44"/>
      </w:pPr>
      <w:r>
        <w:t xml:space="preserve">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1520654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654074" name="Рисунок 1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 столбцах с наименованием показателя в табличной части или в панели настройки отображения столбцов отображаются правила формирования значения показателя (рис. </w:t>
      </w:r>
      <w:r>
        <w:fldChar w:fldCharType="begin"/>
      </w:r>
      <w:r>
        <w:instrText xml:space="preserve"> REF  _Ref205989345 \h \t\#\0   \* MERGEFORMAT </w:instrText>
      </w:r>
      <w:r>
        <w:fldChar w:fldCharType="separate"/>
      </w:r>
      <w:r>
        <w:t>199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_Ref205989361 \h \t\#\0   \* MERGEFORMAT </w:instrText>
      </w:r>
      <w:r>
        <w:fldChar w:fldCharType="separate"/>
      </w:r>
      <w:r>
        <w:t>200</w:t>
      </w:r>
      <w:r>
        <w:fldChar w:fldCharType="end"/>
      </w:r>
      <w:r>
        <w:t>).</w:t>
      </w:r>
    </w:p>
    <w:p w14:paraId="509C6A09">
      <w:pPr>
        <w:pStyle w:val="48"/>
      </w:pPr>
      <w:r>
        <w:drawing>
          <wp:inline distT="0" distB="0" distL="0" distR="0">
            <wp:extent cx="2159635" cy="1514475"/>
            <wp:effectExtent l="19050" t="19050" r="12065" b="9525"/>
            <wp:docPr id="1812911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911520" name="Рисунок 1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1458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B9CBC28">
      <w:pPr>
        <w:pStyle w:val="49"/>
      </w:pPr>
      <w:bookmarkStart w:id="830" w:name="_Ref2059893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199</w:t>
      </w:r>
      <w:r>
        <w:fldChar w:fldCharType="end"/>
      </w:r>
      <w:bookmarkEnd w:id="830"/>
      <w:r>
        <w:t xml:space="preserve"> — Правила формирования столбца «Оборот коек»</w:t>
      </w:r>
    </w:p>
    <w:p w14:paraId="66EAF8AF">
      <w:pPr>
        <w:pStyle w:val="48"/>
      </w:pPr>
      <w:r>
        <w:drawing>
          <wp:inline distT="0" distB="0" distL="0" distR="0">
            <wp:extent cx="2159635" cy="2269490"/>
            <wp:effectExtent l="19050" t="19050" r="12065" b="16510"/>
            <wp:docPr id="348696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696665" name="Рисунок 1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26968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534D94">
      <w:pPr>
        <w:pStyle w:val="49"/>
      </w:pPr>
      <w:bookmarkStart w:id="831" w:name="_Ref2059893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200</w:t>
      </w:r>
      <w:r>
        <w:fldChar w:fldCharType="end"/>
      </w:r>
      <w:bookmarkEnd w:id="831"/>
      <w:r>
        <w:t xml:space="preserve"> — Правила формирования среднего числа дней занятости коек</w:t>
      </w:r>
    </w:p>
    <w:p w14:paraId="19D41836">
      <w:pPr>
        <w:pStyle w:val="44"/>
      </w:pPr>
      <w:r>
        <w:t xml:space="preserve">Для просмотра показателей оборота за период для МО </w:t>
      </w:r>
      <w:bookmarkStart w:id="832" w:name="_Hlk205558521"/>
      <w:r>
        <w:t>в разрезе структурного подразделения, отделения или профиля</w:t>
      </w:r>
      <w:bookmarkEnd w:id="832"/>
      <w:r>
        <w:t xml:space="preserve"> задать в блоке «Параметры отбора» панели фильтрации значения в соответствующих полях:</w:t>
      </w:r>
    </w:p>
    <w:p w14:paraId="78B1833D">
      <w:pPr>
        <w:pStyle w:val="51"/>
      </w:pPr>
      <w:r>
        <w:t>«Структурное подразделение» — ввести код структурного подразделения МО выбором в раскрывающемся справочнике;</w:t>
      </w:r>
    </w:p>
    <w:p w14:paraId="4D04C122">
      <w:pPr>
        <w:pStyle w:val="51"/>
      </w:pPr>
      <w:r>
        <w:t>«Отделение» — ввести значение выбором в раскрывающемся справочнике;</w:t>
      </w:r>
    </w:p>
    <w:p w14:paraId="4A720680">
      <w:pPr>
        <w:pStyle w:val="51"/>
      </w:pPr>
      <w:r>
        <w:t>«Профиль» — ввести значение выбором в раскрывающемся справочнике.</w:t>
      </w:r>
    </w:p>
    <w:p w14:paraId="13702B7A">
      <w:pPr>
        <w:pStyle w:val="44"/>
      </w:pPr>
      <w:r>
        <w:t xml:space="preserve">Нажать кнопку «Найти». В рабочей области отобразятся сведения, удовлетворяющие заданным параметрам отбора (рис. </w:t>
      </w:r>
      <w:r>
        <w:fldChar w:fldCharType="begin"/>
      </w:r>
      <w:r>
        <w:instrText xml:space="preserve"> REF  _Ref205558423 \h\#\0   \* MERGEFORMAT </w:instrText>
      </w:r>
      <w:r>
        <w:fldChar w:fldCharType="separate"/>
      </w:r>
      <w:r>
        <w:t>201</w:t>
      </w:r>
      <w:r>
        <w:fldChar w:fldCharType="end"/>
      </w:r>
      <w:r>
        <w:t>).</w:t>
      </w:r>
    </w:p>
    <w:p w14:paraId="5140AC07">
      <w:pPr>
        <w:pStyle w:val="48"/>
      </w:pPr>
      <w:r>
        <w:drawing>
          <wp:inline distT="0" distB="0" distL="0" distR="0">
            <wp:extent cx="6119495" cy="1729740"/>
            <wp:effectExtent l="19050" t="19050" r="14605" b="22860"/>
            <wp:docPr id="10147207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20731" name="Рисунок 1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297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147809">
      <w:pPr>
        <w:pStyle w:val="49"/>
      </w:pPr>
      <w:bookmarkStart w:id="833" w:name="_Ref20555842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201</w:t>
      </w:r>
      <w:r>
        <w:fldChar w:fldCharType="end"/>
      </w:r>
      <w:bookmarkEnd w:id="833"/>
      <w:r>
        <w:t xml:space="preserve"> — Раздел «Показатели оборота за период» в разрезе структурного подразделения, отделения или профиля</w:t>
      </w:r>
    </w:p>
    <w:p w14:paraId="614DD5E6">
      <w:pPr>
        <w:pStyle w:val="44"/>
      </w:pPr>
      <w:r>
        <w:t xml:space="preserve">Чтобы скачать данные в форме отчета по показателям оборота коечного фонда за период нажать </w:t>
      </w:r>
      <w:r>
        <w:drawing>
          <wp:inline distT="0" distB="0" distL="0" distR="0">
            <wp:extent cx="251460" cy="256540"/>
            <wp:effectExtent l="19050" t="19050" r="15240" b="10160"/>
            <wp:docPr id="7456929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692977" name="Рисунок 1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65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правом верхнем углу над таблицей данных. Файл с отчетом в формате </w:t>
      </w:r>
      <w:r>
        <w:rPr>
          <w:lang w:val="en-US"/>
        </w:rPr>
        <w:t>XLSX</w:t>
      </w:r>
      <w:r>
        <w:t xml:space="preserve"> автоматически скачивается локально в папку «Загрузки».</w:t>
      </w:r>
    </w:p>
    <w:p w14:paraId="0213B03A">
      <w:pPr>
        <w:pStyle w:val="44"/>
      </w:pPr>
      <w:r>
        <w:t>Отчет о доступности коечного фонда МО содержит основные сведения в заголовочной части:</w:t>
      </w:r>
    </w:p>
    <w:p w14:paraId="485C421D">
      <w:pPr>
        <w:pStyle w:val="51"/>
      </w:pPr>
      <w:r>
        <w:t>«Отчет» — наименование отчета «Показатели оборота за период»;</w:t>
      </w:r>
    </w:p>
    <w:p w14:paraId="1661305A">
      <w:pPr>
        <w:pStyle w:val="51"/>
      </w:pPr>
      <w:r>
        <w:t>«Дата, время формирования» — дата и время создания данного отчета в системе;</w:t>
      </w:r>
    </w:p>
    <w:p w14:paraId="2988A0B2">
      <w:pPr>
        <w:pStyle w:val="51"/>
      </w:pPr>
      <w:r>
        <w:t>«Дата, время актуализации данных за период» — дата и время последнего обновления информации в витрине данных;</w:t>
      </w:r>
    </w:p>
    <w:p w14:paraId="7989A8BF">
      <w:pPr>
        <w:pStyle w:val="51"/>
        <w:keepNext/>
      </w:pPr>
      <w:r>
        <w:t>Период — диапазон дат, указанный в модуле фильтрации (блок «Фильтр»), который служит ограничивающим условием для извлечения и агрегации данных при формировании итогового отчета:</w:t>
      </w:r>
    </w:p>
    <w:p w14:paraId="311BB0A8">
      <w:pPr>
        <w:pStyle w:val="77"/>
        <w:ind w:left="1134"/>
      </w:pPr>
      <w:r>
        <w:t>Дата с;</w:t>
      </w:r>
    </w:p>
    <w:p w14:paraId="0E54EDE2">
      <w:pPr>
        <w:pStyle w:val="77"/>
        <w:ind w:left="1134"/>
      </w:pPr>
      <w:r>
        <w:t>Дата по;</w:t>
      </w:r>
    </w:p>
    <w:p w14:paraId="613B4D3D">
      <w:pPr>
        <w:pStyle w:val="51"/>
      </w:pPr>
      <w:r>
        <w:t>Код субъекта МО</w:t>
      </w:r>
      <w:r>
        <w:rPr>
          <w:lang w:val="en-US"/>
        </w:rPr>
        <w:t>;</w:t>
      </w:r>
    </w:p>
    <w:p w14:paraId="330BCC01">
      <w:pPr>
        <w:pStyle w:val="51"/>
      </w:pPr>
      <w:r>
        <w:t>Наименование субъекта</w:t>
      </w:r>
      <w:r>
        <w:rPr>
          <w:lang w:val="en-US"/>
        </w:rPr>
        <w:t>;</w:t>
      </w:r>
    </w:p>
    <w:p w14:paraId="6B36AA33">
      <w:pPr>
        <w:pStyle w:val="51"/>
      </w:pPr>
      <w:r>
        <w:t>МО (</w:t>
      </w:r>
      <w:r>
        <w:rPr>
          <w:lang w:val="en-US"/>
        </w:rPr>
        <w:t>OID</w:t>
      </w:r>
      <w:r>
        <w:t>);</w:t>
      </w:r>
    </w:p>
    <w:p w14:paraId="60BBADB2">
      <w:pPr>
        <w:pStyle w:val="51"/>
      </w:pPr>
      <w:r>
        <w:t>Краткое наименование МО;</w:t>
      </w:r>
    </w:p>
    <w:p w14:paraId="1B037F5A">
      <w:pPr>
        <w:pStyle w:val="51"/>
      </w:pPr>
      <w:bookmarkStart w:id="834" w:name="_Hlk214638068"/>
      <w:r>
        <w:t>Постоянные параметры отчета, явно заданные в фильтре</w:t>
      </w:r>
      <w:bookmarkEnd w:id="834"/>
      <w:r>
        <w:t>.</w:t>
      </w:r>
    </w:p>
    <w:p w14:paraId="70395292">
      <w:pPr>
        <w:pStyle w:val="44"/>
      </w:pPr>
      <w:r>
        <w:t xml:space="preserve">Табличная часть содержит полные данные об обороте коечного фонда за указанный период на основе данных витрины (независимо от настройки пользователем отображения столбцов в графическом интерфейсе пользователя). Пример отчета приведен на рисунке </w:t>
      </w:r>
      <w:r>
        <w:fldChar w:fldCharType="begin"/>
      </w:r>
      <w:r>
        <w:instrText xml:space="preserve"> REF  _Ref205989396 \h \t\#\0   \* MERGEFORMAT </w:instrText>
      </w:r>
      <w:r>
        <w:fldChar w:fldCharType="separate"/>
      </w:r>
      <w:r>
        <w:t>202</w:t>
      </w:r>
      <w:r>
        <w:fldChar w:fldCharType="end"/>
      </w:r>
      <w:r>
        <w:t>.</w:t>
      </w:r>
    </w:p>
    <w:p w14:paraId="622191B0">
      <w:pPr>
        <w:pStyle w:val="48"/>
      </w:pPr>
      <w:r>
        <w:drawing>
          <wp:inline distT="0" distB="0" distL="0" distR="0">
            <wp:extent cx="6119495" cy="2025650"/>
            <wp:effectExtent l="19050" t="19050" r="14605" b="12700"/>
            <wp:docPr id="6344398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439857" name="Рисунок 1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256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CDF0772">
      <w:pPr>
        <w:pStyle w:val="49"/>
      </w:pPr>
      <w:bookmarkStart w:id="835" w:name="_Ref2059893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202</w:t>
      </w:r>
      <w:r>
        <w:fldChar w:fldCharType="end"/>
      </w:r>
      <w:bookmarkEnd w:id="835"/>
      <w:r>
        <w:t xml:space="preserve"> — Пример отчета «Показатели оборота за период»</w:t>
      </w:r>
    </w:p>
    <w:p w14:paraId="532D7994">
      <w:pPr>
        <w:pStyle w:val="44"/>
      </w:pPr>
      <w:r>
        <w:t>Для формирования отчета «Показатели оборота за период» для МО в разрезе структурного подразделения, отделения или профиля задать в блоке «Параметры отбора» панели фильтрации значения в соответствующих полях:</w:t>
      </w:r>
    </w:p>
    <w:p w14:paraId="129E0274">
      <w:pPr>
        <w:pStyle w:val="51"/>
      </w:pPr>
      <w:r>
        <w:t>«Структурное подразделение» — ввести код структурного подразделения МО выбором в раскрывающемся справочнике;</w:t>
      </w:r>
    </w:p>
    <w:p w14:paraId="52D0CDE4">
      <w:pPr>
        <w:pStyle w:val="51"/>
      </w:pPr>
      <w:r>
        <w:t>«Отделение» — ввести значение выбором в раскрывающемся справочнике;</w:t>
      </w:r>
    </w:p>
    <w:p w14:paraId="2F77950C">
      <w:pPr>
        <w:pStyle w:val="51"/>
      </w:pPr>
      <w:r>
        <w:t>«Профиль» — ввести значение выбором в раскрывающемся справочнике.</w:t>
      </w:r>
    </w:p>
    <w:p w14:paraId="199DB272">
      <w:pPr>
        <w:pStyle w:val="44"/>
      </w:pPr>
      <w:r>
        <w:t>После нажатия «Найти» формируется отчет с показателями оборота коечного фонда МО на заданный период в соответствии с выбранными параметрами — для структурного подразделения в разрезе отделения или профиля.</w:t>
      </w:r>
    </w:p>
    <w:p w14:paraId="472C439B">
      <w:pPr>
        <w:pStyle w:val="49"/>
      </w:pPr>
    </w:p>
    <w:p w14:paraId="1BFD7E89">
      <w:pPr>
        <w:pStyle w:val="48"/>
      </w:pPr>
      <w:r>
        <w:drawing>
          <wp:inline distT="0" distB="0" distL="0" distR="0">
            <wp:extent cx="2195830" cy="2720340"/>
            <wp:effectExtent l="19050" t="19050" r="13970" b="22860"/>
            <wp:docPr id="16527256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7256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272085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52E2F10">
      <w:pPr>
        <w:pStyle w:val="49"/>
      </w:pPr>
      <w:bookmarkStart w:id="836" w:name="_Ref21455397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203</w:t>
      </w:r>
      <w:r>
        <w:fldChar w:fldCharType="end"/>
      </w:r>
      <w:bookmarkEnd w:id="836"/>
      <w:r>
        <w:t xml:space="preserve"> — Добавление столбцов со сведениями об обороте коечного фонда</w:t>
      </w:r>
    </w:p>
    <w:p w14:paraId="7DBC27E2">
      <w:pPr>
        <w:pStyle w:val="44"/>
      </w:pPr>
      <w:r>
        <w:t xml:space="preserve">Для получения отчета по показателям оборота коечного фонда за период в формате </w:t>
      </w:r>
      <w:r>
        <w:rPr>
          <w:lang w:val="en-US"/>
        </w:rPr>
        <w:t>EXCEL</w:t>
      </w:r>
      <w:r>
        <w:t xml:space="preserve"> нажмите </w:t>
      </w:r>
      <w:r>
        <w:drawing>
          <wp:inline distT="0" distB="0" distL="0" distR="0">
            <wp:extent cx="277495" cy="282575"/>
            <wp:effectExtent l="19050" t="19050" r="27305" b="22225"/>
            <wp:docPr id="1220896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9632" name="Рисунок 1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81495" cy="28661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правом верхнем углу вкладки, файл с отчетом будет скачан веб-браузером пользователя.</w:t>
      </w:r>
    </w:p>
    <w:p w14:paraId="3B832C60">
      <w:pPr>
        <w:pStyle w:val="39"/>
      </w:pPr>
      <w:bookmarkStart w:id="837" w:name="_Ref182926668"/>
      <w:bookmarkStart w:id="838" w:name="_Toc225871550"/>
      <w:r>
        <w:t>Просмотр сведений по учету коечного фонда</w:t>
      </w:r>
      <w:bookmarkEnd w:id="837"/>
      <w:r>
        <w:t xml:space="preserve"> на заданную дату</w:t>
      </w:r>
      <w:bookmarkEnd w:id="838"/>
    </w:p>
    <w:p w14:paraId="4A947F90">
      <w:pPr>
        <w:pStyle w:val="44"/>
      </w:pPr>
      <w:r>
        <w:t xml:space="preserve">Вкладка «Данные витрины» позволяет получить сведения по учету коечного фонда, фиксируемые в ФПУМП, на заданную дату. </w:t>
      </w:r>
    </w:p>
    <w:p w14:paraId="1E7F9ABD">
      <w:pPr>
        <w:pStyle w:val="44"/>
      </w:pPr>
      <w:r>
        <w:t>Сведения по учету коечного фонда на заданную дату отображаются в подразделе «Данные витрины». Сведения на заданную дату отображаются по данным витрины с 09:00 истекших суток до 09:00 заданной даты поиска. Витрина обновляется каждые 15 минут.</w:t>
      </w:r>
    </w:p>
    <w:p w14:paraId="7732AD9C">
      <w:pPr>
        <w:pStyle w:val="44"/>
      </w:pPr>
      <w:r>
        <w:t xml:space="preserve">Параметры отбора данных для предоставления сведений по учету коечного фонда задаются в блоке «Фильтр»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182932755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rPr>
          <w:lang w:val="en-US"/>
        </w:rPr>
        <w:t>204</w:t>
      </w:r>
      <w:r>
        <w:rPr>
          <w:lang w:val="en-US"/>
        </w:rPr>
        <w:fldChar w:fldCharType="end"/>
      </w:r>
      <w:r>
        <w:t>).</w:t>
      </w:r>
    </w:p>
    <w:p w14:paraId="32F20B6C">
      <w:pPr>
        <w:pStyle w:val="48"/>
      </w:pPr>
      <w:r>
        <w:rPr>
          <w14:ligatures w14:val="standardContextual"/>
        </w:rPr>
        <w:drawing>
          <wp:inline distT="0" distB="0" distL="0" distR="0">
            <wp:extent cx="2159635" cy="2520950"/>
            <wp:effectExtent l="19050" t="19050" r="12065" b="12700"/>
            <wp:docPr id="6091064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106437" name="Рисунок 1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5209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B74EA41">
      <w:pPr>
        <w:pStyle w:val="49"/>
      </w:pPr>
      <w:bookmarkStart w:id="839" w:name="_Ref1829327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204</w:t>
      </w:r>
      <w:r>
        <w:fldChar w:fldCharType="end"/>
      </w:r>
      <w:bookmarkEnd w:id="839"/>
      <w:r>
        <w:t xml:space="preserve"> — Параметры отбора данных вкладки «Данные витрины»</w:t>
      </w:r>
    </w:p>
    <w:p w14:paraId="11650EA6">
      <w:pPr>
        <w:pStyle w:val="44"/>
      </w:pPr>
      <w:r>
        <w:t>Блок «Фильтр» содержит переключатель выбора режима отбора данных для отображения:</w:t>
      </w:r>
    </w:p>
    <w:p w14:paraId="6CEFB5C4">
      <w:pPr>
        <w:pStyle w:val="51"/>
      </w:pPr>
      <w:r>
        <w:t>«Всего» — отображение заявленных коек;</w:t>
      </w:r>
    </w:p>
    <w:p w14:paraId="431D1AA3">
      <w:pPr>
        <w:pStyle w:val="51"/>
      </w:pPr>
      <w:r>
        <w:t>«В ОМС» — отображение заявленных коек только по договорам в ОМС.</w:t>
      </w:r>
    </w:p>
    <w:p w14:paraId="4E93B18F">
      <w:pPr>
        <w:pStyle w:val="44"/>
      </w:pPr>
      <w:r>
        <w:t>В режиме «Всего» блок «Фильтр» содержит следующие параметры:</w:t>
      </w:r>
    </w:p>
    <w:p w14:paraId="5B60D1CC">
      <w:pPr>
        <w:pStyle w:val="51"/>
      </w:pPr>
      <w:r>
        <w:t>«Структурное подразделение» — структурное подразделение МО по данным ФРМО;</w:t>
      </w:r>
    </w:p>
    <w:p w14:paraId="2C5D7499">
      <w:pPr>
        <w:pStyle w:val="51"/>
      </w:pPr>
      <w:r>
        <w:t>«Отделение» — отделение МО по данным ФРМО;</w:t>
      </w:r>
    </w:p>
    <w:p w14:paraId="184EE43B">
      <w:pPr>
        <w:pStyle w:val="51"/>
      </w:pPr>
      <w:r>
        <w:t>«Профиль» — профиль койки</w:t>
      </w:r>
      <w:r>
        <w:rPr>
          <w:lang w:val="en-US"/>
        </w:rPr>
        <w:t>;</w:t>
      </w:r>
    </w:p>
    <w:p w14:paraId="25966C53">
      <w:pPr>
        <w:pStyle w:val="51"/>
      </w:pPr>
      <w:r>
        <w:t>«Дата» — обязательный параметр. Учитываются сведения с 09:00 истекших суток до 09:00 даты поиска. По умолчанию отображается текущая дата.</w:t>
      </w:r>
    </w:p>
    <w:p w14:paraId="4CE46C19">
      <w:pPr>
        <w:pStyle w:val="44"/>
      </w:pPr>
      <w:r>
        <w:t>После задания необходимых параметров отбора данных, включая дату, на которую требуется предоставить сведения, нажать «Найти».</w:t>
      </w:r>
    </w:p>
    <w:p w14:paraId="149A25F1">
      <w:pPr>
        <w:pStyle w:val="44"/>
      </w:pPr>
      <w:r>
        <w:t xml:space="preserve">Результаты отбора и агрегации данных отображаются в виде таблицы, содержащей по умолчанию следующие основные сведения (рис. </w:t>
      </w:r>
      <w:r>
        <w:fldChar w:fldCharType="begin"/>
      </w:r>
      <w:r>
        <w:instrText xml:space="preserve"> REF  _Ref182932800 \h \t\#\0 \* MERGEFORMAT </w:instrText>
      </w:r>
      <w:r>
        <w:fldChar w:fldCharType="separate"/>
      </w:r>
      <w:r>
        <w:t>205</w:t>
      </w:r>
      <w:r>
        <w:fldChar w:fldCharType="end"/>
      </w:r>
      <w:r>
        <w:t>):</w:t>
      </w:r>
    </w:p>
    <w:p w14:paraId="485D3D43">
      <w:pPr>
        <w:pStyle w:val="48"/>
      </w:pPr>
      <w:r>
        <w:drawing>
          <wp:inline distT="0" distB="0" distL="0" distR="0">
            <wp:extent cx="6119495" cy="3244850"/>
            <wp:effectExtent l="19050" t="19050" r="14605" b="12700"/>
            <wp:docPr id="3209051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905124" name="Рисунок 1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448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FD2172">
      <w:pPr>
        <w:pStyle w:val="49"/>
      </w:pPr>
      <w:bookmarkStart w:id="840" w:name="_Ref1829328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205</w:t>
      </w:r>
      <w:r>
        <w:fldChar w:fldCharType="end"/>
      </w:r>
      <w:bookmarkEnd w:id="840"/>
      <w:r>
        <w:t xml:space="preserve"> — Результаты отбора и агрегации данных на вкладке «Данные витрины»</w:t>
      </w:r>
    </w:p>
    <w:p w14:paraId="56EF63EC">
      <w:pPr>
        <w:pStyle w:val="44"/>
      </w:pPr>
      <w:r>
        <w:t xml:space="preserve">В информационной строке отображается количество записей, удовлетворяющих заданным параметрам отбора данных, дата и время последнего обновления фиксируемых в ФПУМП сведений по учету коечного фонда. Кнопка </w:t>
      </w:r>
      <w:r>
        <w:drawing>
          <wp:inline distT="0" distB="0" distL="0" distR="0">
            <wp:extent cx="209550" cy="190500"/>
            <wp:effectExtent l="19050" t="19050" r="19050" b="19050"/>
            <wp:docPr id="13347420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742047" name="Рисунок 1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 повторяет последний запрос к подсистеме с учетом параметров отбора, заданных в последнем выполненном запросе.</w:t>
      </w:r>
    </w:p>
    <w:p w14:paraId="38D92C67">
      <w:pPr>
        <w:pStyle w:val="44"/>
      </w:pPr>
      <w:r>
        <w:t>В табличной части по умолчанию отображаются основные показатели оборота коечного фонда в следующих столбцах:</w:t>
      </w:r>
    </w:p>
    <w:p w14:paraId="7E8932D2">
      <w:pPr>
        <w:pStyle w:val="51"/>
      </w:pPr>
      <w:r>
        <w:t>«Профиль койки» — код и наименование профиля койки по данным ФРМО;</w:t>
      </w:r>
    </w:p>
    <w:p w14:paraId="706FA676">
      <w:pPr>
        <w:pStyle w:val="51"/>
      </w:pPr>
      <w:r>
        <w:t>«Кол-во заявленных коек» — количество заявленных коек по отделению и профилю коек по данным ФРМО;</w:t>
      </w:r>
    </w:p>
    <w:p w14:paraId="0651E698">
      <w:pPr>
        <w:pStyle w:val="51"/>
      </w:pPr>
      <w:r>
        <w:t>«Занятые койки» — разница количества поступивших пациентов за истекшие сутки и количества выписанных пациентов за истекшие сутки;</w:t>
      </w:r>
    </w:p>
    <w:p w14:paraId="0F081416">
      <w:pPr>
        <w:pStyle w:val="51"/>
      </w:pPr>
      <w:r>
        <w:t>«Поступившие пациенты за истекшие сутки» — количество поступивших пациентов, включая переведенных внутри стационара. Дата, время поступления из движения отделения c 9:00 истекших суток (включительно) до 9:00 текущего дня (не включительно);</w:t>
      </w:r>
    </w:p>
    <w:p w14:paraId="43F752AE">
      <w:pPr>
        <w:pStyle w:val="51"/>
      </w:pPr>
      <w:r>
        <w:t>«Количество свободных коек профиля» — разница количества заявленных коек и количества занятых коек;</w:t>
      </w:r>
    </w:p>
    <w:p w14:paraId="022BAA04">
      <w:pPr>
        <w:pStyle w:val="51"/>
      </w:pPr>
      <w:r>
        <w:t>«Выписанные пациенты за истекшие сутки» — количество выбывших пациентов, включая переведенных внутри стационара. Дата, время выбытия из движения отделения c 9:00 истекших суток (включительно) до 9:00 текущего дня (не включительно);</w:t>
      </w:r>
    </w:p>
    <w:p w14:paraId="602615E5">
      <w:pPr>
        <w:pStyle w:val="51"/>
      </w:pPr>
      <w:r>
        <w:t>«СЭФД в статусе черновик» — количество СЭФД статусе черновик (указана плановая даты окончания госпитализации). Дата, время поступления из движения отделения c 9:00 истекших суток (включительно) до 9:00 текущего дня (не включительно);</w:t>
      </w:r>
    </w:p>
    <w:p w14:paraId="3022E61C">
      <w:pPr>
        <w:pStyle w:val="51"/>
      </w:pPr>
      <w:r>
        <w:t>«Поступившие пациенты за истекшие сутки, переведенные внутри стационара» — количество переведенных пациентов. Дата, время поступления из движения отделения c 9:00 истекших суток (включительно) до 9:00 текущего дня (не включительно), переведенных внутри стационара;</w:t>
      </w:r>
    </w:p>
    <w:p w14:paraId="45E28A93">
      <w:pPr>
        <w:pStyle w:val="51"/>
      </w:pPr>
      <w:r>
        <w:t>«Выписанные пациенты за истекшие сутки, переведенные внутри стационара» — Количество выбывших пациентов. Дата, время выбытия из движения отделения c 9:00 истекших суток (включительно) до 9:00 текущего дня (не включительно), переведенных внутри стационара.</w:t>
      </w:r>
    </w:p>
    <w:p w14:paraId="1EEB1168">
      <w:pPr>
        <w:pStyle w:val="44"/>
      </w:pPr>
      <w:r>
        <w:t>По ряду показателей отображается детализированная информация в разрезе:</w:t>
      </w:r>
    </w:p>
    <w:p w14:paraId="3B077AC1">
      <w:pPr>
        <w:pStyle w:val="51"/>
      </w:pPr>
      <w:r>
        <w:t>«Количество»;</w:t>
      </w:r>
    </w:p>
    <w:p w14:paraId="28FD0BE4">
      <w:pPr>
        <w:pStyle w:val="51"/>
      </w:pPr>
      <w:r>
        <w:t>«ТПГГ и ПГГ» — код МО в ОМС;</w:t>
      </w:r>
    </w:p>
    <w:p w14:paraId="0EBDF223">
      <w:pPr>
        <w:pStyle w:val="51"/>
      </w:pPr>
      <w:r>
        <w:t>«Всего».</w:t>
      </w:r>
    </w:p>
    <w:p w14:paraId="27FEE70F">
      <w:pPr>
        <w:pStyle w:val="50"/>
        <w:numPr>
          <w:ilvl w:val="0"/>
          <w:numId w:val="0"/>
        </w:numPr>
        <w:ind w:firstLine="709"/>
      </w:pPr>
      <w:r>
        <w:t>Часть показателей столбцов с показателями скрыта по умолчанию:</w:t>
      </w:r>
    </w:p>
    <w:p w14:paraId="78F2E2B8">
      <w:pPr>
        <w:pStyle w:val="51"/>
      </w:pPr>
      <w:r>
        <w:t>«Категория обслуживаемого населения» — скрыт по умолчанию;</w:t>
      </w:r>
    </w:p>
    <w:p w14:paraId="18F0967F">
      <w:pPr>
        <w:pStyle w:val="51"/>
      </w:pPr>
      <w:r>
        <w:t>«Условия оказания МП» — скрыт по умолчанию;</w:t>
      </w:r>
    </w:p>
    <w:p w14:paraId="60CA3E1B">
      <w:pPr>
        <w:pStyle w:val="51"/>
      </w:pPr>
      <w:r>
        <w:t>«OID отделения» — скрыт по умолчанию;</w:t>
      </w:r>
    </w:p>
    <w:p w14:paraId="49BD85F2">
      <w:pPr>
        <w:pStyle w:val="51"/>
      </w:pPr>
      <w:r>
        <w:t>«Код типа отделения» — скрыт по умолчанию;</w:t>
      </w:r>
    </w:p>
    <w:p w14:paraId="06C88396">
      <w:pPr>
        <w:pStyle w:val="51"/>
      </w:pPr>
      <w:r>
        <w:t>«Наименование типа отделения» — скрыт по умолчанию;</w:t>
      </w:r>
    </w:p>
    <w:p w14:paraId="556CCFD5">
      <w:pPr>
        <w:pStyle w:val="51"/>
      </w:pPr>
      <w:r>
        <w:t>«OID структурного подразделения» — скрыт по умолчанию;</w:t>
      </w:r>
    </w:p>
    <w:p w14:paraId="4A6DFD03">
      <w:pPr>
        <w:pStyle w:val="51"/>
      </w:pPr>
      <w:r>
        <w:t>«Наименование структурного подразделения» — скрыт по умолчанию;</w:t>
      </w:r>
    </w:p>
    <w:p w14:paraId="789045BC">
      <w:pPr>
        <w:pStyle w:val="51"/>
      </w:pPr>
      <w:r>
        <w:t>«OID медицинской организации» — скрыт по умолчанию;</w:t>
      </w:r>
    </w:p>
    <w:p w14:paraId="51D041D8">
      <w:pPr>
        <w:pStyle w:val="51"/>
      </w:pPr>
      <w:r>
        <w:t>«Краткое наим. мед. организации» — скрыт по умолчанию;</w:t>
      </w:r>
    </w:p>
    <w:p w14:paraId="3D7AE1BF">
      <w:pPr>
        <w:pStyle w:val="51"/>
      </w:pPr>
      <w:r>
        <w:t>«Код субъекта МО» — скрыт по умолчанию;</w:t>
      </w:r>
    </w:p>
    <w:p w14:paraId="2E3333E8">
      <w:pPr>
        <w:pStyle w:val="51"/>
      </w:pPr>
      <w:r>
        <w:t>«Наименование субъекта» — скрыт по умолчанию.</w:t>
      </w:r>
    </w:p>
    <w:p w14:paraId="7D5B04BF">
      <w:pPr>
        <w:pStyle w:val="44"/>
      </w:pPr>
      <w:r>
        <w:t xml:space="preserve">Доступен элемент управления </w:t>
      </w:r>
      <w:r>
        <w:drawing>
          <wp:inline distT="0" distB="0" distL="0" distR="0">
            <wp:extent cx="179705" cy="191770"/>
            <wp:effectExtent l="19050" t="19050" r="10795" b="17780"/>
            <wp:docPr id="1477327869" name="Рисунок 1477327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327869" name="Рисунок 147732786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для выбора в панели настройки показателей для отображения в графическом интерфейсе пользователя. Для просмотра всех показателей воспользоваться полосой прокрутки справа (рис. </w:t>
      </w:r>
      <w:r>
        <w:fldChar w:fldCharType="begin"/>
      </w:r>
      <w:r>
        <w:instrText xml:space="preserve"> REF  _Ref205989150 \h \t\#\0   \* MERGEFORMAT </w:instrText>
      </w:r>
      <w:r>
        <w:fldChar w:fldCharType="separate"/>
      </w:r>
      <w:r>
        <w:t>206</w:t>
      </w:r>
      <w:r>
        <w:fldChar w:fldCharType="end"/>
      </w:r>
      <w:r>
        <w:t>).</w:t>
      </w:r>
    </w:p>
    <w:p w14:paraId="27D21FCE">
      <w:pPr>
        <w:pStyle w:val="46"/>
      </w:pPr>
      <w:r>
        <w:rPr>
          <w:rStyle w:val="47"/>
        </w:rPr>
        <w:t>Примечание</w:t>
      </w:r>
      <w:r>
        <w:t xml:space="preserve"> — При формировании отчета выгружаются данные витрины по всем показателям, в том числе скрытым.</w:t>
      </w:r>
    </w:p>
    <w:p w14:paraId="431AE499">
      <w:pPr>
        <w:pStyle w:val="48"/>
      </w:pPr>
      <w:r>
        <w:drawing>
          <wp:inline distT="0" distB="0" distL="0" distR="0">
            <wp:extent cx="2159635" cy="2771775"/>
            <wp:effectExtent l="19050" t="19050" r="12065" b="9525"/>
            <wp:docPr id="743660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660038" name="Рисунок 1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7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C09559">
      <w:pPr>
        <w:pStyle w:val="49"/>
      </w:pPr>
      <w:bookmarkStart w:id="841" w:name="_Ref2059891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206</w:t>
      </w:r>
      <w:r>
        <w:fldChar w:fldCharType="end"/>
      </w:r>
      <w:bookmarkEnd w:id="841"/>
      <w:r>
        <w:t xml:space="preserve"> — Настройка отображения данных витрины в графическом интерфейсе пользователя</w:t>
      </w:r>
    </w:p>
    <w:p w14:paraId="6C2E7A61">
      <w:pPr>
        <w:pStyle w:val="44"/>
      </w:pPr>
      <w:r>
        <w:t>Для просмотра всех показателей (столбцов) воспользоваться полосой прокрутки в нижней части страницы.</w:t>
      </w:r>
    </w:p>
    <w:p w14:paraId="4E19CF9A">
      <w:pPr>
        <w:pStyle w:val="44"/>
      </w:pPr>
      <w:r>
        <w:t>Для просмотра всех записей (строк) воспользоваться полосой прокрутки справа.</w:t>
      </w:r>
    </w:p>
    <w:p w14:paraId="4F3E243B">
      <w:pPr>
        <w:pStyle w:val="44"/>
      </w:pPr>
      <w:r>
        <w:t xml:space="preserve">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10590966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096633" name="Рисунок 1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 столбцах с наименованием показателя в табличной части или панели настройки отображения столбцов отображаются правила формирования значения показателя (рис. </w:t>
      </w:r>
      <w:r>
        <w:fldChar w:fldCharType="begin"/>
      </w:r>
      <w:r>
        <w:instrText xml:space="preserve"> REF  _Ref205989181 \h \t\#\0   \* MERGEFORMAT </w:instrText>
      </w:r>
      <w:r>
        <w:fldChar w:fldCharType="separate"/>
      </w:r>
      <w:r>
        <w:t>207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_Ref205989194 \h \t\#\0   \* MERGEFORMAT </w:instrText>
      </w:r>
      <w:r>
        <w:fldChar w:fldCharType="separate"/>
      </w:r>
      <w:r>
        <w:t>208</w:t>
      </w:r>
      <w:r>
        <w:fldChar w:fldCharType="end"/>
      </w:r>
      <w:r>
        <w:t>).</w:t>
      </w:r>
    </w:p>
    <w:p w14:paraId="1E00CABF">
      <w:pPr>
        <w:pStyle w:val="48"/>
      </w:pPr>
      <w:r>
        <w:drawing>
          <wp:inline distT="0" distB="0" distL="0" distR="0">
            <wp:extent cx="4679950" cy="1727200"/>
            <wp:effectExtent l="19050" t="19050" r="25400" b="25400"/>
            <wp:docPr id="17269565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56570" name="Рисунок 1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273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F6EB6AA">
      <w:pPr>
        <w:pStyle w:val="49"/>
      </w:pPr>
      <w:bookmarkStart w:id="842" w:name="_Ref2059891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207</w:t>
      </w:r>
      <w:r>
        <w:fldChar w:fldCharType="end"/>
      </w:r>
      <w:bookmarkEnd w:id="842"/>
      <w:r>
        <w:t xml:space="preserve"> — Всплывающая подсказка в табличной части</w:t>
      </w:r>
    </w:p>
    <w:p w14:paraId="756250DA">
      <w:pPr>
        <w:pStyle w:val="48"/>
      </w:pPr>
      <w:r>
        <w:drawing>
          <wp:inline distT="0" distB="0" distL="0" distR="0">
            <wp:extent cx="2519680" cy="3198495"/>
            <wp:effectExtent l="19050" t="19050" r="13970" b="20955"/>
            <wp:docPr id="7577847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784719" name="Рисунок 1"/>
                    <pic:cNvPicPr>
                      <a:picLocks noChangeAspect="1"/>
                    </pic:cNvPicPr>
                  </pic:nvPicPr>
                  <pic:blipFill>
                    <a:blip r:embed="rId253"/>
                    <a:srcRect t="1568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199391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29B8DC">
      <w:pPr>
        <w:pStyle w:val="49"/>
      </w:pPr>
      <w:bookmarkStart w:id="843" w:name="_Ref2059891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208</w:t>
      </w:r>
      <w:r>
        <w:fldChar w:fldCharType="end"/>
      </w:r>
      <w:bookmarkEnd w:id="843"/>
      <w:r>
        <w:t xml:space="preserve"> — Всплывающая подсказка в панели настройки</w:t>
      </w:r>
    </w:p>
    <w:p w14:paraId="509AEE9D">
      <w:pPr>
        <w:pStyle w:val="39"/>
      </w:pPr>
      <w:bookmarkStart w:id="844" w:name="_Toc225871551"/>
      <w:bookmarkStart w:id="845" w:name="_Hlk182926348"/>
      <w:r>
        <w:t>Формирование отчета о доступности коечного фонда</w:t>
      </w:r>
      <w:bookmarkEnd w:id="844"/>
      <w:bookmarkEnd w:id="845"/>
    </w:p>
    <w:p w14:paraId="3BEEB0F4">
      <w:pPr>
        <w:pStyle w:val="44"/>
      </w:pPr>
      <w:r>
        <w:t xml:space="preserve">Формирование отчета о доступности коечного фонда выполняется на вкладке «Данные витрины». Для получения отчета в формате </w:t>
      </w:r>
      <w:r>
        <w:rPr>
          <w:lang w:val="en-US"/>
        </w:rPr>
        <w:t>Excel</w:t>
      </w:r>
      <w:r>
        <w:t xml:space="preserve"> заполните параметры отбора данных в блоке «Фильтр» и нажмите «Найти». После получения результатов отбора и агрегации данных, представленных в интерфейсе пользователя, нажмите </w:t>
      </w:r>
      <w:r>
        <w:drawing>
          <wp:inline distT="0" distB="0" distL="0" distR="0">
            <wp:extent cx="277495" cy="282575"/>
            <wp:effectExtent l="19050" t="19050" r="27305" b="22225"/>
            <wp:docPr id="1303757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75775" name="Рисунок 1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81495" cy="28661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правом верхнем углу вкладки, файл с отчетом будет скачан веб-браузером пользователя.</w:t>
      </w:r>
    </w:p>
    <w:p w14:paraId="2E28DAC5">
      <w:pPr>
        <w:pStyle w:val="44"/>
      </w:pPr>
      <w:r>
        <w:t xml:space="preserve">Пример отчета о доступности коечного фонда представлен на рисунке </w:t>
      </w:r>
      <w:r>
        <w:fldChar w:fldCharType="begin"/>
      </w:r>
      <w:r>
        <w:instrText xml:space="preserve"> REF  _Ref182934627 \h \t\#\0 \* MERGEFORMAT </w:instrText>
      </w:r>
      <w:r>
        <w:fldChar w:fldCharType="separate"/>
      </w:r>
      <w:r>
        <w:t>209</w:t>
      </w:r>
      <w:r>
        <w:fldChar w:fldCharType="end"/>
      </w:r>
      <w:r>
        <w:t>.</w:t>
      </w:r>
    </w:p>
    <w:p w14:paraId="388A3033">
      <w:pPr>
        <w:pStyle w:val="48"/>
      </w:pPr>
      <w:r>
        <w:drawing>
          <wp:inline distT="0" distB="0" distL="0" distR="0">
            <wp:extent cx="6119495" cy="2749550"/>
            <wp:effectExtent l="19050" t="19050" r="14605" b="12700"/>
            <wp:docPr id="6946395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639563" name="Рисунок 1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495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5FBE8A">
      <w:pPr>
        <w:pStyle w:val="49"/>
      </w:pPr>
      <w:bookmarkStart w:id="846" w:name="_Ref18293462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209</w:t>
      </w:r>
      <w:r>
        <w:fldChar w:fldCharType="end"/>
      </w:r>
      <w:bookmarkEnd w:id="846"/>
      <w:r>
        <w:t xml:space="preserve"> — Отчета о доступности коечного фонда в формате </w:t>
      </w:r>
      <w:r>
        <w:rPr>
          <w:lang w:val="en-US"/>
        </w:rPr>
        <w:t>EXCEL</w:t>
      </w:r>
    </w:p>
    <w:p w14:paraId="70827895">
      <w:pPr>
        <w:pStyle w:val="44"/>
      </w:pPr>
      <w:r>
        <w:t>В заголовочной части отображается наименование отчета «Данные витрины» и основные сведения:</w:t>
      </w:r>
    </w:p>
    <w:p w14:paraId="5858E9C8">
      <w:pPr>
        <w:pStyle w:val="51"/>
      </w:pPr>
      <w:r>
        <w:t>«Дата, время формирования»;</w:t>
      </w:r>
    </w:p>
    <w:p w14:paraId="660D8F05">
      <w:pPr>
        <w:pStyle w:val="51"/>
      </w:pPr>
      <w:r>
        <w:t>«Дата, время актуализации данных витрины»;</w:t>
      </w:r>
    </w:p>
    <w:p w14:paraId="3134AC34">
      <w:pPr>
        <w:pStyle w:val="51"/>
      </w:pPr>
      <w:r>
        <w:t>«Дата»;</w:t>
      </w:r>
    </w:p>
    <w:p w14:paraId="2622FA47">
      <w:pPr>
        <w:pStyle w:val="51"/>
      </w:pPr>
      <w:r>
        <w:t>«Код субъекта МО»;</w:t>
      </w:r>
    </w:p>
    <w:p w14:paraId="26E8461E">
      <w:pPr>
        <w:pStyle w:val="51"/>
      </w:pPr>
      <w:r>
        <w:t>«Наименование субъекта»;</w:t>
      </w:r>
    </w:p>
    <w:p w14:paraId="37D6BBF3">
      <w:pPr>
        <w:pStyle w:val="51"/>
      </w:pPr>
      <w:r>
        <w:t>«OID медицинской организации» — код медицинской организации по справочнику ФРМО;</w:t>
      </w:r>
    </w:p>
    <w:p w14:paraId="4817AC86">
      <w:pPr>
        <w:pStyle w:val="51"/>
      </w:pPr>
      <w:r>
        <w:t>«Краткое наименование медицинской организации»</w:t>
      </w:r>
      <w:r>
        <w:rPr>
          <w:lang w:val="en-US"/>
        </w:rPr>
        <w:t>.</w:t>
      </w:r>
    </w:p>
    <w:p w14:paraId="33F4185E">
      <w:pPr>
        <w:pStyle w:val="44"/>
      </w:pPr>
      <w:r>
        <w:t>Основная часть содержит следующие основные сведения о доступности коечного фонда:</w:t>
      </w:r>
    </w:p>
    <w:p w14:paraId="0CEE90C3">
      <w:pPr>
        <w:pStyle w:val="51"/>
      </w:pPr>
      <w:r>
        <w:t>«OID структурного подразделения» — код структурного подразделения по справочнику ФРМО;</w:t>
      </w:r>
    </w:p>
    <w:p w14:paraId="37343785">
      <w:pPr>
        <w:pStyle w:val="51"/>
      </w:pPr>
      <w:r>
        <w:t>«Наименование структурного подразделения»;</w:t>
      </w:r>
    </w:p>
    <w:p w14:paraId="6942C95F">
      <w:pPr>
        <w:pStyle w:val="51"/>
      </w:pPr>
      <w:r>
        <w:t>«OID отделения» — код отделения по справочнику ФРМО;</w:t>
      </w:r>
    </w:p>
    <w:p w14:paraId="42343C78">
      <w:pPr>
        <w:pStyle w:val="51"/>
      </w:pPr>
      <w:r>
        <w:t>«Тип отделения»;</w:t>
      </w:r>
    </w:p>
    <w:p w14:paraId="6900A434">
      <w:pPr>
        <w:pStyle w:val="51"/>
      </w:pPr>
      <w:r>
        <w:t>«Наименование типа отделения»;</w:t>
      </w:r>
    </w:p>
    <w:p w14:paraId="58A84C36">
      <w:pPr>
        <w:pStyle w:val="51"/>
      </w:pPr>
      <w:r>
        <w:t>«Условия оказания медицинской помощи в отделении»;</w:t>
      </w:r>
    </w:p>
    <w:p w14:paraId="4B808DFB">
      <w:pPr>
        <w:pStyle w:val="51"/>
      </w:pPr>
      <w:r>
        <w:t>«Наименование условия оказания медицинской помощи в отделении»;</w:t>
      </w:r>
    </w:p>
    <w:p w14:paraId="1DD3B246">
      <w:pPr>
        <w:pStyle w:val="51"/>
      </w:pPr>
      <w:r>
        <w:t>«Код категории обслуживаемого населения»;</w:t>
      </w:r>
    </w:p>
    <w:p w14:paraId="5D6AE3F8">
      <w:pPr>
        <w:pStyle w:val="51"/>
      </w:pPr>
      <w:r>
        <w:t>«Наименование категории обслуживаемого населения»;</w:t>
      </w:r>
    </w:p>
    <w:p w14:paraId="68B8984D">
      <w:pPr>
        <w:pStyle w:val="51"/>
      </w:pPr>
      <w:r>
        <w:t>«Код профиля койки»;</w:t>
      </w:r>
    </w:p>
    <w:p w14:paraId="0CB7C1CE">
      <w:pPr>
        <w:pStyle w:val="51"/>
      </w:pPr>
      <w:r>
        <w:t>«Наименование профиля койки»;</w:t>
      </w:r>
    </w:p>
    <w:p w14:paraId="0092AAAC">
      <w:pPr>
        <w:pStyle w:val="51"/>
      </w:pPr>
      <w:r>
        <w:t>«Количество заявленных коек»;</w:t>
      </w:r>
    </w:p>
    <w:p w14:paraId="15AA29C1">
      <w:pPr>
        <w:pStyle w:val="51"/>
      </w:pPr>
      <w:r>
        <w:t>«Дата»</w:t>
      </w:r>
      <w:r>
        <w:rPr>
          <w:lang w:val="en-US"/>
        </w:rPr>
        <w:t>;</w:t>
      </w:r>
    </w:p>
    <w:p w14:paraId="3C109D78">
      <w:pPr>
        <w:pStyle w:val="51"/>
      </w:pPr>
      <w:r>
        <w:t>«Занятые койки»:</w:t>
      </w:r>
    </w:p>
    <w:p w14:paraId="6475C717">
      <w:pPr>
        <w:pStyle w:val="77"/>
      </w:pPr>
      <w:r>
        <w:t>«Всего»;</w:t>
      </w:r>
    </w:p>
    <w:p w14:paraId="1563B23F">
      <w:pPr>
        <w:pStyle w:val="77"/>
      </w:pPr>
      <w:r>
        <w:t>«ТПГГ и ПГГ»;</w:t>
      </w:r>
    </w:p>
    <w:p w14:paraId="2CB9DC27">
      <w:pPr>
        <w:pStyle w:val="77"/>
      </w:pPr>
      <w:r>
        <w:t>«Количество»;</w:t>
      </w:r>
    </w:p>
    <w:p w14:paraId="713F7FA9">
      <w:pPr>
        <w:pStyle w:val="51"/>
      </w:pPr>
      <w:r>
        <w:t>«Поступившие пациенты за истекшие сутки»:</w:t>
      </w:r>
    </w:p>
    <w:p w14:paraId="2C1158C7">
      <w:pPr>
        <w:pStyle w:val="77"/>
      </w:pPr>
      <w:r>
        <w:t>«Всего»;</w:t>
      </w:r>
    </w:p>
    <w:p w14:paraId="308790CD">
      <w:pPr>
        <w:pStyle w:val="77"/>
      </w:pPr>
      <w:r>
        <w:t>«ТПГГ и ПГГ»;</w:t>
      </w:r>
    </w:p>
    <w:p w14:paraId="5BCADF63">
      <w:pPr>
        <w:pStyle w:val="77"/>
      </w:pPr>
      <w:r>
        <w:t>«Количество»;</w:t>
      </w:r>
    </w:p>
    <w:p w14:paraId="10E8CDC8">
      <w:pPr>
        <w:pStyle w:val="51"/>
      </w:pPr>
      <w:r>
        <w:t>«Количество свободных коек профиля»;</w:t>
      </w:r>
    </w:p>
    <w:p w14:paraId="4E2B2BF3">
      <w:pPr>
        <w:pStyle w:val="51"/>
      </w:pPr>
      <w:r>
        <w:t>«Выписанные пациенты за истекшие сутки»:</w:t>
      </w:r>
    </w:p>
    <w:p w14:paraId="6941EF41">
      <w:pPr>
        <w:pStyle w:val="77"/>
      </w:pPr>
      <w:r>
        <w:t>«Всего»;</w:t>
      </w:r>
    </w:p>
    <w:p w14:paraId="2184729F">
      <w:pPr>
        <w:pStyle w:val="77"/>
      </w:pPr>
      <w:r>
        <w:t>«ТПГГ и ПГГ»;</w:t>
      </w:r>
    </w:p>
    <w:p w14:paraId="712E07B7">
      <w:pPr>
        <w:pStyle w:val="77"/>
      </w:pPr>
      <w:r>
        <w:t>«Количество»;</w:t>
      </w:r>
    </w:p>
    <w:p w14:paraId="0DEADC0A">
      <w:pPr>
        <w:pStyle w:val="51"/>
      </w:pPr>
      <w:r>
        <w:t>«СЭФД в статусе черновик»:</w:t>
      </w:r>
    </w:p>
    <w:p w14:paraId="0608161F">
      <w:pPr>
        <w:pStyle w:val="77"/>
      </w:pPr>
      <w:r>
        <w:t>«Всего»;</w:t>
      </w:r>
    </w:p>
    <w:p w14:paraId="7F45565C">
      <w:pPr>
        <w:pStyle w:val="77"/>
      </w:pPr>
      <w:r>
        <w:t>«ТПГГ и ПГГ»;</w:t>
      </w:r>
    </w:p>
    <w:p w14:paraId="220F02FB">
      <w:pPr>
        <w:pStyle w:val="77"/>
      </w:pPr>
      <w:r>
        <w:t>«Количество»;</w:t>
      </w:r>
    </w:p>
    <w:p w14:paraId="34F21EE4">
      <w:pPr>
        <w:pStyle w:val="51"/>
      </w:pPr>
      <w:r>
        <w:t>«Поступившие пациенты за истекшие сутки, переведенных внутри стационара»:</w:t>
      </w:r>
    </w:p>
    <w:p w14:paraId="4797E426">
      <w:pPr>
        <w:pStyle w:val="77"/>
      </w:pPr>
      <w:r>
        <w:t>«Всего»;</w:t>
      </w:r>
    </w:p>
    <w:p w14:paraId="29185F0C">
      <w:pPr>
        <w:pStyle w:val="77"/>
      </w:pPr>
      <w:r>
        <w:t>«ТПГГ и ПГГ»;</w:t>
      </w:r>
    </w:p>
    <w:p w14:paraId="27030FA6">
      <w:pPr>
        <w:pStyle w:val="77"/>
      </w:pPr>
      <w:r>
        <w:t>«Количество»;</w:t>
      </w:r>
    </w:p>
    <w:p w14:paraId="3B7C274D">
      <w:pPr>
        <w:pStyle w:val="51"/>
      </w:pPr>
      <w:r>
        <w:t>«Выписанные пациенты за истекшие сутки, переведенные внутри стационара»:</w:t>
      </w:r>
    </w:p>
    <w:p w14:paraId="24FC8034">
      <w:pPr>
        <w:pStyle w:val="77"/>
      </w:pPr>
      <w:r>
        <w:t>«Всего»;</w:t>
      </w:r>
    </w:p>
    <w:p w14:paraId="05CF0C75">
      <w:pPr>
        <w:pStyle w:val="77"/>
      </w:pPr>
      <w:r>
        <w:t>«ТПГГ и ПГГ»;</w:t>
      </w:r>
    </w:p>
    <w:p w14:paraId="680BD03C">
      <w:pPr>
        <w:pStyle w:val="77"/>
      </w:pPr>
      <w:r>
        <w:t>«Количество».</w:t>
      </w:r>
    </w:p>
    <w:p w14:paraId="6ADD5095">
      <w:pPr>
        <w:pStyle w:val="44"/>
      </w:pPr>
      <w:r>
        <w:t>Для формирования отчета о доступности коечного фонда МО на текущую дату в разрезе структурного подразделения, отделения или профиля задать в блоке «Параметры отбора» панели фильтрации значения в соответствующих полях:</w:t>
      </w:r>
    </w:p>
    <w:p w14:paraId="47695B57">
      <w:pPr>
        <w:pStyle w:val="51"/>
      </w:pPr>
      <w:r>
        <w:t>«Структурное подразделение» — ввести код структурного подразделения МО выбором в раскрывающемся справочнике;</w:t>
      </w:r>
    </w:p>
    <w:p w14:paraId="2FE1F225">
      <w:pPr>
        <w:pStyle w:val="51"/>
      </w:pPr>
      <w:r>
        <w:t>«Отделение» — ввести значение выбором в раскрывающемся справочнике;</w:t>
      </w:r>
    </w:p>
    <w:p w14:paraId="0A13519B">
      <w:pPr>
        <w:pStyle w:val="51"/>
      </w:pPr>
      <w:r>
        <w:t>«Профиль» — ввести значение выбором в раскрывающемся справочнике;</w:t>
      </w:r>
    </w:p>
    <w:p w14:paraId="222E6AD2">
      <w:pPr>
        <w:pStyle w:val="51"/>
      </w:pPr>
      <w:r>
        <w:t>«Дата» — обязательное поле, убедиться в корректности выбранной даты.</w:t>
      </w:r>
    </w:p>
    <w:p w14:paraId="69C4C703">
      <w:pPr>
        <w:pStyle w:val="44"/>
      </w:pPr>
      <w:r>
        <w:t>После нажатия «Найти» формируется отчет о доступности коечного фонда МО на заданную дату в соответствии с заданными параметрами — для структурного подразделения в разрезе отделения или профиля. При этом заданные в панели фильтрации сведения отображаются в заголовочной части. Например:</w:t>
      </w:r>
    </w:p>
    <w:p w14:paraId="3D13BE4B">
      <w:pPr>
        <w:pStyle w:val="51"/>
      </w:pPr>
      <w:r>
        <w:t>«Структурное подразделение (OID)»;</w:t>
      </w:r>
    </w:p>
    <w:p w14:paraId="397814EB">
      <w:pPr>
        <w:pStyle w:val="51"/>
      </w:pPr>
      <w:r>
        <w:t>«Наименование структурного подразделения»;</w:t>
      </w:r>
    </w:p>
    <w:p w14:paraId="4EC754C3">
      <w:pPr>
        <w:pStyle w:val="51"/>
      </w:pPr>
      <w:r>
        <w:t>«Отделение (OID)»;</w:t>
      </w:r>
    </w:p>
    <w:p w14:paraId="500B8B10">
      <w:pPr>
        <w:pStyle w:val="51"/>
      </w:pPr>
      <w:r>
        <w:t>«Тип отделения»;</w:t>
      </w:r>
    </w:p>
    <w:p w14:paraId="65E2D6ED">
      <w:pPr>
        <w:pStyle w:val="51"/>
      </w:pPr>
      <w:r>
        <w:t>«Наименование типа отделения».</w:t>
      </w:r>
    </w:p>
    <w:p w14:paraId="13B1FB78">
      <w:pPr>
        <w:pStyle w:val="39"/>
      </w:pPr>
      <w:bookmarkStart w:id="847" w:name="_Toc225871552"/>
      <w:r>
        <w:t>Для формирования отчета о доступности коечного фонда МО в ОМС на текущую дату в разрезе ОМС выбрать в панели фильтрации режим «В ОМС».</w:t>
      </w:r>
      <w:bookmarkStart w:id="848" w:name="_Ref185352386"/>
      <w:bookmarkStart w:id="849" w:name="_Toc185352708"/>
      <w:r>
        <w:t xml:space="preserve"> Просмотр сведений по планируемым показателям свободных мест</w:t>
      </w:r>
      <w:bookmarkEnd w:id="847"/>
      <w:bookmarkEnd w:id="848"/>
      <w:bookmarkEnd w:id="849"/>
    </w:p>
    <w:p w14:paraId="66437D02">
      <w:pPr>
        <w:pStyle w:val="44"/>
      </w:pPr>
      <w:r>
        <w:t>Сведения по планируемым показателям свободных мест отображаются в подразделе «Свободные места».</w:t>
      </w:r>
    </w:p>
    <w:p w14:paraId="461F902A">
      <w:pPr>
        <w:pStyle w:val="44"/>
      </w:pPr>
      <w:r>
        <w:t>Данные подраздела предназначены для анализа количества свободных мест для госпитализации в плановом порядке в разрезе профилей (отделений) медицинской помощи на текущий день и на ближайшие 14 календарных дней с указанием планируемой даты освобождения места согласно п. 263, б) Правил ОМС (Приказ 108н)</w:t>
      </w:r>
      <w:r>
        <w:rPr>
          <w:rStyle w:val="14"/>
        </w:rPr>
        <w:footnoteReference w:id="5"/>
      </w:r>
      <w:r>
        <w:t>.</w:t>
      </w:r>
    </w:p>
    <w:p w14:paraId="43EA7E50">
      <w:pPr>
        <w:pStyle w:val="44"/>
      </w:pPr>
      <w:r>
        <w:t>Подраздел содержит сведения по планируемым показателям в разрезе параметров:</w:t>
      </w:r>
    </w:p>
    <w:p w14:paraId="15FCA1DA">
      <w:pPr>
        <w:pStyle w:val="51"/>
      </w:pPr>
      <w:r>
        <w:t>«Количество освобождающихся коек»;</w:t>
      </w:r>
    </w:p>
    <w:p w14:paraId="17D9D30F">
      <w:pPr>
        <w:pStyle w:val="51"/>
      </w:pPr>
      <w:r>
        <w:t>«Плановое количество занятых коек»;</w:t>
      </w:r>
    </w:p>
    <w:p w14:paraId="1A829608">
      <w:pPr>
        <w:pStyle w:val="51"/>
      </w:pPr>
      <w:r>
        <w:t>«Плановой количество свободных коек» — на плановый период (14 дней);</w:t>
      </w:r>
    </w:p>
    <w:p w14:paraId="1EC2717F">
      <w:pPr>
        <w:pStyle w:val="51"/>
      </w:pPr>
      <w:r>
        <w:t>«Количество заявленных коек»;</w:t>
      </w:r>
    </w:p>
    <w:p w14:paraId="2488DEA5">
      <w:pPr>
        <w:pStyle w:val="51"/>
      </w:pPr>
      <w:r>
        <w:t>«Количество свободных коек» на текущую дату.</w:t>
      </w:r>
    </w:p>
    <w:p w14:paraId="2E08E0B2">
      <w:pPr>
        <w:pStyle w:val="44"/>
      </w:pPr>
      <w:r>
        <w:t xml:space="preserve">Для перехода в подраздел выбрать в разделе «Коечный фонд» вкладку «Свободные места». В рабочей области отобразится подраздел «Свободные места» (рис. </w:t>
      </w:r>
      <w:r>
        <w:fldChar w:fldCharType="begin"/>
      </w:r>
      <w:r>
        <w:instrText xml:space="preserve"> REF  _Ref185259406 \h\#\0   \* MERGEFORMAT </w:instrText>
      </w:r>
      <w:r>
        <w:fldChar w:fldCharType="separate"/>
      </w:r>
      <w:r>
        <w:t>210</w:t>
      </w:r>
      <w:r>
        <w:fldChar w:fldCharType="end"/>
      </w:r>
      <w:r>
        <w:t>)</w:t>
      </w:r>
      <w:r>
        <w:rPr>
          <w:lang w:val="en-US"/>
        </w:rPr>
        <w:t>.</w:t>
      </w:r>
    </w:p>
    <w:p w14:paraId="7AE216D7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6119495" cy="2948940"/>
            <wp:effectExtent l="19050" t="19050" r="14605" b="22860"/>
            <wp:docPr id="2526468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646822" name="Рисунок 1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489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3656184">
      <w:pPr>
        <w:pStyle w:val="49"/>
      </w:pPr>
      <w:bookmarkStart w:id="850" w:name="_Ref1852594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210</w:t>
      </w:r>
      <w:r>
        <w:fldChar w:fldCharType="end"/>
      </w:r>
      <w:bookmarkEnd w:id="850"/>
      <w:r>
        <w:t xml:space="preserve"> — Коечный фонд. Подраздел «Свободные места»</w:t>
      </w:r>
    </w:p>
    <w:p w14:paraId="6DBD2193">
      <w:pPr>
        <w:pStyle w:val="44"/>
      </w:pPr>
      <w:r>
        <w:t>В панели «Фильтр» в блоке «Параметры отбора» доступен выбор параметров:</w:t>
      </w:r>
    </w:p>
    <w:p w14:paraId="0BBE06B5">
      <w:pPr>
        <w:pStyle w:val="51"/>
      </w:pPr>
      <w:r>
        <w:t>«Всего» или «В ОМС» — по умолчанию установлено значение «Всего»;</w:t>
      </w:r>
    </w:p>
    <w:p w14:paraId="5EDC9A32">
      <w:pPr>
        <w:pStyle w:val="51"/>
      </w:pPr>
      <w:r>
        <w:t>«Структурное подразделение»;</w:t>
      </w:r>
    </w:p>
    <w:p w14:paraId="50144CC6">
      <w:pPr>
        <w:pStyle w:val="51"/>
      </w:pPr>
      <w:r>
        <w:t>«Отделение»;</w:t>
      </w:r>
    </w:p>
    <w:p w14:paraId="35D23540">
      <w:pPr>
        <w:pStyle w:val="51"/>
      </w:pPr>
      <w:r>
        <w:t>«Профиль».</w:t>
      </w:r>
    </w:p>
    <w:p w14:paraId="5C51B29D">
      <w:pPr>
        <w:pStyle w:val="44"/>
      </w:pPr>
      <w:r>
        <w:t>В панели «Фильтр» задать необходимые параметры и нажать «Найти».</w:t>
      </w:r>
    </w:p>
    <w:p w14:paraId="453E0D1F">
      <w:pPr>
        <w:pStyle w:val="44"/>
      </w:pPr>
      <w:r>
        <w:t>В рабочей области в режиме «Всего» отобразятся показатели, соответствующие критериям отбора. Планируемые показатели рассчитываются на планируемую дату за истекшие сутки от нее — с 9:00 дня накануне планируемой даты (включительно) до 9:00 дня планируемой даты (не включительно) с учетом:</w:t>
      </w:r>
    </w:p>
    <w:p w14:paraId="788A412A">
      <w:pPr>
        <w:pStyle w:val="51"/>
      </w:pPr>
      <w:r>
        <w:t>профиля койки;</w:t>
      </w:r>
    </w:p>
    <w:p w14:paraId="6AF2DF77">
      <w:pPr>
        <w:pStyle w:val="51"/>
      </w:pPr>
      <w:r>
        <w:t>категории обслуживаемого населения;</w:t>
      </w:r>
    </w:p>
    <w:p w14:paraId="0273D823">
      <w:pPr>
        <w:pStyle w:val="51"/>
      </w:pPr>
      <w:r>
        <w:t>условий оказания МП;</w:t>
      </w:r>
    </w:p>
    <w:p w14:paraId="31376C97">
      <w:pPr>
        <w:pStyle w:val="51"/>
      </w:pPr>
      <w:r>
        <w:t>типа отделения;</w:t>
      </w:r>
    </w:p>
    <w:p w14:paraId="364DA756">
      <w:pPr>
        <w:pStyle w:val="51"/>
      </w:pPr>
      <w:r>
        <w:t>OID отделения — — код отделения по справочнику ФРМО;</w:t>
      </w:r>
    </w:p>
    <w:p w14:paraId="5C196DD9">
      <w:pPr>
        <w:pStyle w:val="51"/>
      </w:pPr>
      <w:r>
        <w:t>OID структурного подразделения — код структурного подразделения по справочнику ФРМО;</w:t>
      </w:r>
    </w:p>
    <w:p w14:paraId="56981557">
      <w:pPr>
        <w:pStyle w:val="51"/>
      </w:pPr>
      <w:r>
        <w:t>OID медицинской организации — код медицинской организации по справочнику ФРМО.</w:t>
      </w:r>
    </w:p>
    <w:p w14:paraId="0D738242">
      <w:pPr>
        <w:pStyle w:val="44"/>
      </w:pPr>
      <w:r>
        <w:t xml:space="preserve">В информационной строке под лентой выбора вкладок раздела «Коечный фонд» отображается количество записей, удовлетворяющих критериям отбора в поле «Найдено», дата и время последнего обновления и кнопка </w:t>
      </w:r>
      <w:r>
        <w:drawing>
          <wp:inline distT="0" distB="0" distL="0" distR="0">
            <wp:extent cx="215900" cy="223520"/>
            <wp:effectExtent l="19050" t="19050" r="12700" b="24130"/>
            <wp:docPr id="7092202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20240" name="Рисунок 1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2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«Обновить». При нажатии кнопки повторяется последний запрос к подсистеме с учетом параметров отбора, заданных в последнем выполненном запросе.</w:t>
      </w:r>
    </w:p>
    <w:p w14:paraId="2358DC3E">
      <w:pPr>
        <w:pStyle w:val="44"/>
      </w:pPr>
      <w:r>
        <w:t>Табличная часть содержит основные сведения для выбранной МО на текущую дату и на ближайшие 14 календарных дней:</w:t>
      </w:r>
    </w:p>
    <w:p w14:paraId="23060E31">
      <w:pPr>
        <w:pStyle w:val="51"/>
      </w:pPr>
      <w:r>
        <w:t>«Профиль койки» — код и наименование профиля койки;</w:t>
      </w:r>
    </w:p>
    <w:p w14:paraId="3A5B3535">
      <w:pPr>
        <w:pStyle w:val="51"/>
      </w:pPr>
      <w:r>
        <w:t>«Дата» — отображается текущая дата;</w:t>
      </w:r>
    </w:p>
    <w:p w14:paraId="58151010">
      <w:pPr>
        <w:pStyle w:val="51"/>
      </w:pPr>
      <w:r>
        <w:t>«Количество заявленных коек» — количество заявленных коек по отделению и профилю коек по данным ФРМО на текущую дату;</w:t>
      </w:r>
    </w:p>
    <w:p w14:paraId="3B161F89">
      <w:pPr>
        <w:pStyle w:val="51"/>
      </w:pPr>
      <w:r>
        <w:t>«Количество свободных коек» — количество свободных коек на текущую дату;</w:t>
      </w:r>
    </w:p>
    <w:p w14:paraId="5AC4AFEC">
      <w:pPr>
        <w:pStyle w:val="51"/>
      </w:pPr>
      <w:r>
        <w:t>«Планируемая дата» — начиная с текущей даты и на 14 календарных дней после нее;</w:t>
      </w:r>
    </w:p>
    <w:p w14:paraId="469DD2D1">
      <w:pPr>
        <w:pStyle w:val="51"/>
      </w:pPr>
      <w:r>
        <w:t>«Планируемые показатели»:</w:t>
      </w:r>
    </w:p>
    <w:p w14:paraId="2FAD6CDA">
      <w:pPr>
        <w:pStyle w:val="77"/>
        <w:ind w:left="1134"/>
      </w:pPr>
      <w:r>
        <w:t>«Количество освобождающихся коек» — количество освобождающихся коек на планируемую дату;</w:t>
      </w:r>
    </w:p>
    <w:p w14:paraId="2B35A144">
      <w:pPr>
        <w:pStyle w:val="77"/>
        <w:ind w:left="1134"/>
      </w:pPr>
      <w:r>
        <w:t>«Плановое количество занятых коек» — плановое количество занятых коек на планируемую дату;</w:t>
      </w:r>
    </w:p>
    <w:p w14:paraId="43787EC7">
      <w:pPr>
        <w:pStyle w:val="77"/>
        <w:ind w:left="1134"/>
      </w:pPr>
      <w:r>
        <w:t>«Плановое количество свободных коек» — из количества заявленных коек вычитается плановое количество свободных коек;</w:t>
      </w:r>
    </w:p>
    <w:p w14:paraId="00A4604E">
      <w:pPr>
        <w:pStyle w:val="51"/>
      </w:pPr>
      <w:r>
        <w:t>«Код субъекта МО»;</w:t>
      </w:r>
    </w:p>
    <w:p w14:paraId="3D0F32CE">
      <w:pPr>
        <w:pStyle w:val="51"/>
      </w:pPr>
      <w:r>
        <w:t>«Наименование субъекта»;</w:t>
      </w:r>
    </w:p>
    <w:p w14:paraId="0B1CD199">
      <w:pPr>
        <w:pStyle w:val="51"/>
      </w:pPr>
      <w:r>
        <w:t>«OID медицинской организации» — код медицинской организации по справочнику ФРМО;</w:t>
      </w:r>
    </w:p>
    <w:p w14:paraId="6BA18178">
      <w:pPr>
        <w:pStyle w:val="51"/>
      </w:pPr>
      <w:r>
        <w:t>«Краткое наим. мед. организации»;</w:t>
      </w:r>
    </w:p>
    <w:p w14:paraId="2DF0BCD9">
      <w:pPr>
        <w:pStyle w:val="51"/>
      </w:pPr>
      <w:r>
        <w:t>«OID структурного подразделения» — код структурного подразделения по справочнику ФРМО;</w:t>
      </w:r>
    </w:p>
    <w:p w14:paraId="0789AC2C">
      <w:pPr>
        <w:pStyle w:val="51"/>
      </w:pPr>
      <w:r>
        <w:t>«Наим. структурного подразделения»;</w:t>
      </w:r>
    </w:p>
    <w:p w14:paraId="479ED792">
      <w:pPr>
        <w:pStyle w:val="51"/>
      </w:pPr>
      <w:r>
        <w:t>«OID отделения» — код отделения по справочнику ФРМО;</w:t>
      </w:r>
    </w:p>
    <w:p w14:paraId="33C0CFBC">
      <w:pPr>
        <w:pStyle w:val="51"/>
      </w:pPr>
      <w:r>
        <w:t>«Тип отделения»;</w:t>
      </w:r>
    </w:p>
    <w:p w14:paraId="06EE3505">
      <w:pPr>
        <w:pStyle w:val="51"/>
      </w:pPr>
      <w:r>
        <w:t>«Наим. типа отделения»;</w:t>
      </w:r>
    </w:p>
    <w:p w14:paraId="7B74AC7F">
      <w:pPr>
        <w:pStyle w:val="51"/>
      </w:pPr>
      <w:r>
        <w:t>«Условия оказания МП» — код и наименование условий оказания медицинской помощи;</w:t>
      </w:r>
    </w:p>
    <w:p w14:paraId="460A805E">
      <w:pPr>
        <w:pStyle w:val="51"/>
      </w:pPr>
      <w:r>
        <w:t>«Категория обслуживаемого населения» — код и наименование категории обслуживаемого населения.</w:t>
      </w:r>
    </w:p>
    <w:p w14:paraId="1BEB7649">
      <w:pPr>
        <w:pStyle w:val="44"/>
      </w:pPr>
      <w:r>
        <w:t xml:space="preserve">Сведения о планируемых показателях отображаются в столбцах с расчетными планируемыми показателями. 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9582105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210568" name="Рисунок 1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 столбцах с наименованием показателя в табличной части или панели настройки отображения столбцов отображаются правила формирования значения показателя или подсказка с пояснением. Пример приведен на рисунках </w:t>
      </w:r>
      <w:r>
        <w:fldChar w:fldCharType="begin"/>
      </w:r>
      <w:r>
        <w:instrText xml:space="preserve"> REF  _Ref205989448 \h \t\#\0   \* MERGEFORMAT </w:instrText>
      </w:r>
      <w:r>
        <w:fldChar w:fldCharType="separate"/>
      </w:r>
      <w:r>
        <w:t>211</w:t>
      </w:r>
      <w:r>
        <w:fldChar w:fldCharType="end"/>
      </w:r>
      <w:r>
        <w:rPr>
          <w:lang w:val="en-US"/>
        </w:rPr>
        <w:t xml:space="preserve"> </w:t>
      </w:r>
      <w:r>
        <w:t xml:space="preserve">и </w:t>
      </w:r>
      <w:r>
        <w:fldChar w:fldCharType="begin"/>
      </w:r>
      <w:r>
        <w:instrText xml:space="preserve"> REF  _Ref205562955 \h\#\0   \* MERGEFORMAT </w:instrText>
      </w:r>
      <w:r>
        <w:fldChar w:fldCharType="separate"/>
      </w:r>
      <w:r>
        <w:t>212</w:t>
      </w:r>
      <w:r>
        <w:fldChar w:fldCharType="end"/>
      </w:r>
      <w:r>
        <w:t>.</w:t>
      </w:r>
    </w:p>
    <w:p w14:paraId="332583B8">
      <w:pPr>
        <w:pStyle w:val="48"/>
      </w:pPr>
      <w:r>
        <w:drawing>
          <wp:inline distT="0" distB="0" distL="0" distR="0">
            <wp:extent cx="4679950" cy="2138045"/>
            <wp:effectExtent l="19050" t="19050" r="25400" b="14605"/>
            <wp:docPr id="17986005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600522" name="Рисунок 1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3827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13B0256">
      <w:pPr>
        <w:pStyle w:val="49"/>
      </w:pPr>
      <w:bookmarkStart w:id="851" w:name="_Ref2059894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211</w:t>
      </w:r>
      <w:r>
        <w:fldChar w:fldCharType="end"/>
      </w:r>
      <w:bookmarkEnd w:id="851"/>
      <w:r>
        <w:t xml:space="preserve"> — Правила формирования столбца «Планируемая дата»</w:t>
      </w:r>
    </w:p>
    <w:p w14:paraId="0FD56494">
      <w:pPr>
        <w:pStyle w:val="48"/>
      </w:pPr>
      <w:r>
        <w:drawing>
          <wp:inline distT="0" distB="0" distL="0" distR="0">
            <wp:extent cx="3239770" cy="886460"/>
            <wp:effectExtent l="19050" t="19050" r="17780" b="27940"/>
            <wp:docPr id="107519617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196178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88660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80323F">
      <w:pPr>
        <w:pStyle w:val="49"/>
      </w:pPr>
      <w:bookmarkStart w:id="852" w:name="_Ref2055629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212</w:t>
      </w:r>
      <w:r>
        <w:fldChar w:fldCharType="end"/>
      </w:r>
      <w:bookmarkEnd w:id="852"/>
      <w:r>
        <w:t xml:space="preserve"> — Правила формирования столбца «Планируемая дата», в настройках таблицы</w:t>
      </w:r>
    </w:p>
    <w:p w14:paraId="3914625E">
      <w:pPr>
        <w:pStyle w:val="44"/>
      </w:pPr>
      <w:r>
        <w:t>Для просмотра сведений в разрезе СП и отделений МО и профиля коек указать в панели фильтрации параметры отбора в полях:</w:t>
      </w:r>
    </w:p>
    <w:p w14:paraId="5E0E94ED">
      <w:pPr>
        <w:pStyle w:val="51"/>
      </w:pPr>
      <w:r>
        <w:t>«Структурное подразделение»;</w:t>
      </w:r>
    </w:p>
    <w:p w14:paraId="70742DB3">
      <w:pPr>
        <w:pStyle w:val="51"/>
      </w:pPr>
      <w:r>
        <w:t>«Отделение»;</w:t>
      </w:r>
    </w:p>
    <w:p w14:paraId="340A118E">
      <w:pPr>
        <w:pStyle w:val="51"/>
      </w:pPr>
      <w:r>
        <w:t>«Профиль».</w:t>
      </w:r>
    </w:p>
    <w:p w14:paraId="01505339">
      <w:pPr>
        <w:pStyle w:val="44"/>
      </w:pPr>
      <w:r>
        <w:t>После нажатия «Найти» в рабочей области отобразятся данные планируемых показателей свободных мест с учетом заданных параметров отбора.</w:t>
      </w:r>
    </w:p>
    <w:p w14:paraId="019574FF">
      <w:pPr>
        <w:pStyle w:val="44"/>
      </w:pPr>
      <w:r>
        <w:t xml:space="preserve">Для отображения сведений о заявленных койках в ОМС выбрать в панели «Фильтр» в блоке «Параметры отбора» режим «В ОМС», установив флаг в поле переключателя (рис. </w:t>
      </w:r>
      <w:r>
        <w:fldChar w:fldCharType="begin"/>
      </w:r>
      <w:r>
        <w:instrText xml:space="preserve"> REF  _Ref205989472 \h \t\#\0   \* MERGEFORMAT </w:instrText>
      </w:r>
      <w:r>
        <w:fldChar w:fldCharType="separate"/>
      </w:r>
      <w:r>
        <w:t>213</w:t>
      </w:r>
      <w:r>
        <w:fldChar w:fldCharType="end"/>
      </w:r>
      <w:r>
        <w:t>).</w:t>
      </w:r>
    </w:p>
    <w:p w14:paraId="5DB61275">
      <w:pPr>
        <w:pStyle w:val="48"/>
      </w:pPr>
      <w:r>
        <w:drawing>
          <wp:inline distT="0" distB="0" distL="0" distR="0">
            <wp:extent cx="2159635" cy="4154170"/>
            <wp:effectExtent l="19050" t="19050" r="12065" b="17780"/>
            <wp:docPr id="15222523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252329" name="Рисунок 1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1544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CEF0435">
      <w:pPr>
        <w:pStyle w:val="49"/>
      </w:pPr>
      <w:bookmarkStart w:id="853" w:name="_Ref20598947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213</w:t>
      </w:r>
      <w:r>
        <w:fldChar w:fldCharType="end"/>
      </w:r>
      <w:bookmarkEnd w:id="853"/>
      <w:r>
        <w:t xml:space="preserve"> — Панель «Фильтр». Режим отображения данных «В ОМС»</w:t>
      </w:r>
    </w:p>
    <w:p w14:paraId="68812D7C">
      <w:pPr>
        <w:pStyle w:val="44"/>
      </w:pPr>
      <w:r>
        <w:t>В режиме «В ОМС» блок «Параметры отбора» панели «Фильтр» содержит дополнительное поле «ТПГ и ПГГ». Выбор доступен после заполнения обязательного поля «МО». Остальные поля фильтрации аналогичны параметрам отбора режима «Всего». Поля для выбора параметров:</w:t>
      </w:r>
    </w:p>
    <w:p w14:paraId="3EBACBC8">
      <w:pPr>
        <w:pStyle w:val="51"/>
      </w:pPr>
      <w:r>
        <w:t>«Код субъекта МО»</w:t>
      </w:r>
    </w:p>
    <w:p w14:paraId="1F289A6A">
      <w:pPr>
        <w:pStyle w:val="51"/>
      </w:pPr>
      <w:r>
        <w:t xml:space="preserve">«ТПГГ и ПГГ» — код МО в системе ОМС согласно справочнику </w:t>
      </w:r>
      <w:r>
        <w:rPr>
          <w:lang w:val="en-US"/>
        </w:rPr>
        <w:t>F</w:t>
      </w:r>
      <w:r>
        <w:t>032;</w:t>
      </w:r>
    </w:p>
    <w:p w14:paraId="73B8976A">
      <w:pPr>
        <w:pStyle w:val="51"/>
      </w:pPr>
      <w:r>
        <w:t>«МО» — медицинская организация, данные по которой требуется получить;</w:t>
      </w:r>
    </w:p>
    <w:p w14:paraId="0B95C595">
      <w:pPr>
        <w:pStyle w:val="51"/>
      </w:pPr>
      <w:r>
        <w:t>«Структурное подразделение» — структурное подразделение МО по данным ФРМО;</w:t>
      </w:r>
    </w:p>
    <w:p w14:paraId="0BC99337">
      <w:pPr>
        <w:pStyle w:val="51"/>
      </w:pPr>
      <w:r>
        <w:t>«Отделение»;</w:t>
      </w:r>
    </w:p>
    <w:p w14:paraId="4F214D4B">
      <w:pPr>
        <w:pStyle w:val="51"/>
      </w:pPr>
      <w:r>
        <w:t>«Профиль».</w:t>
      </w:r>
    </w:p>
    <w:p w14:paraId="4B9F0572">
      <w:pPr>
        <w:pStyle w:val="44"/>
      </w:pPr>
      <w:r>
        <w:t>Задать параметры отбора и нажать кнопку «Найти» для просмотра расчетных показателей в ОМС.</w:t>
      </w:r>
    </w:p>
    <w:p w14:paraId="267A4A62">
      <w:pPr>
        <w:pStyle w:val="38"/>
      </w:pPr>
      <w:bookmarkStart w:id="854" w:name="_Ref182996310"/>
      <w:bookmarkStart w:id="855" w:name="_Toc225871553"/>
      <w:bookmarkStart w:id="856" w:name="_Toc164866511"/>
      <w:r>
        <w:t>Просмотр сведений организационно-штатной структуры по данным ФРМО и ФРМР</w:t>
      </w:r>
      <w:bookmarkEnd w:id="854"/>
      <w:bookmarkEnd w:id="855"/>
    </w:p>
    <w:p w14:paraId="18400070">
      <w:pPr>
        <w:pStyle w:val="39"/>
      </w:pPr>
      <w:bookmarkStart w:id="857" w:name="_Toc225871554"/>
      <w:bookmarkStart w:id="858" w:name="_Ref182996162"/>
      <w:r>
        <w:rPr>
          <w:szCs w:val="22"/>
        </w:rPr>
        <w:t xml:space="preserve">Актуализация </w:t>
      </w:r>
      <w:r>
        <w:t>сведений об ОШС в ФРМО и ФРМР</w:t>
      </w:r>
      <w:bookmarkEnd w:id="856"/>
      <w:bookmarkEnd w:id="857"/>
      <w:bookmarkEnd w:id="858"/>
    </w:p>
    <w:p w14:paraId="680519BE">
      <w:pPr>
        <w:pStyle w:val="44"/>
      </w:pPr>
      <w:r>
        <w:t>Для поддержания сведений ОШС МО в актуальном состоянии представитель МО должен своевременно вносить изменения в ФРМО ЕГИСЗ и ФРМР ЕГИСЗ. При несвоевременном обновлении данных может возникнуть ситуация, при которой будет невозможно зарегистрировать сведения о случае оказания медицинской помощи, либо случай будет отклонен на этапе МЭК.</w:t>
      </w:r>
    </w:p>
    <w:p w14:paraId="6A5D8BF9">
      <w:pPr>
        <w:pStyle w:val="44"/>
      </w:pPr>
      <w:r>
        <w:t>МО, участвующая в территориальной программе ОМС, должна поддерживать в актуальном состоянии сведения об участии организации в программе ОМС в блоке «Специализированные признаки» ФРМО:</w:t>
      </w:r>
    </w:p>
    <w:p w14:paraId="21CFADA5">
      <w:pPr>
        <w:pStyle w:val="51"/>
      </w:pPr>
      <w:r>
        <w:t>записи об участии МО в системе ОМС по всем действительным для МО территориальным программам;</w:t>
      </w:r>
    </w:p>
    <w:p w14:paraId="374552C8">
      <w:pPr>
        <w:pStyle w:val="51"/>
      </w:pPr>
      <w:r>
        <w:t>сведения об уровнях и подуровнях МО;</w:t>
      </w:r>
    </w:p>
    <w:p w14:paraId="79859333">
      <w:pPr>
        <w:pStyle w:val="51"/>
      </w:pPr>
      <w:r>
        <w:t>сведения о коечном фонде с профилями и количеством коек;</w:t>
      </w:r>
    </w:p>
    <w:p w14:paraId="146D15D9">
      <w:pPr>
        <w:pStyle w:val="51"/>
      </w:pPr>
      <w:r>
        <w:t>сведения о врачебных участках.</w:t>
      </w:r>
    </w:p>
    <w:p w14:paraId="37EBE54C">
      <w:pPr>
        <w:pStyle w:val="44"/>
      </w:pPr>
      <w:r>
        <w:t>МО, участвующая в территориальной программе ОМС, должна поддерживать в актуальном состоянии личные дела медицинских работников в ФРМО в части сведений, указанных в должности медицинского работника:</w:t>
      </w:r>
    </w:p>
    <w:p w14:paraId="6FC868AD">
      <w:pPr>
        <w:pStyle w:val="51"/>
      </w:pPr>
      <w:r>
        <w:t>сертификат медработника;</w:t>
      </w:r>
    </w:p>
    <w:p w14:paraId="7664AD67">
      <w:pPr>
        <w:pStyle w:val="51"/>
      </w:pPr>
      <w:r>
        <w:t>аккредитация медработника;</w:t>
      </w:r>
    </w:p>
    <w:p w14:paraId="0F5D52AA">
      <w:pPr>
        <w:pStyle w:val="51"/>
      </w:pPr>
      <w:r>
        <w:t>право выдачи льготных рецептов;</w:t>
      </w:r>
    </w:p>
    <w:p w14:paraId="0A38FC2F">
      <w:pPr>
        <w:pStyle w:val="51"/>
      </w:pPr>
      <w:r>
        <w:t>данные эксперта ОМС — в случае, если указанная запись завязана на деятельности сотрудника в качестве эксперта ОМС.</w:t>
      </w:r>
    </w:p>
    <w:p w14:paraId="472F41EF">
      <w:pPr>
        <w:pStyle w:val="44"/>
      </w:pPr>
      <w:r>
        <w:t>На основании внесенных МО сведений об ОШС МО и лицензиях МО и сведений о занятости, сертификатах и аккредитации МР производится медико-экономический контроль соответствия сведений, переданных в составе счета, сведениям ФРМО ЕГИСЗ и ФРМР ЕГИСЗ.</w:t>
      </w:r>
    </w:p>
    <w:p w14:paraId="22336020">
      <w:pPr>
        <w:pStyle w:val="39"/>
      </w:pPr>
      <w:bookmarkStart w:id="859" w:name="_Ref182996172"/>
      <w:bookmarkStart w:id="860" w:name="_Toc164866512"/>
      <w:bookmarkStart w:id="861" w:name="_Toc225871555"/>
      <w:r>
        <w:t>Просмотр сведений о медицинской организации и медицинских работниках</w:t>
      </w:r>
      <w:bookmarkEnd w:id="859"/>
      <w:bookmarkEnd w:id="860"/>
      <w:bookmarkEnd w:id="861"/>
    </w:p>
    <w:p w14:paraId="27FB6000">
      <w:pPr>
        <w:pStyle w:val="44"/>
      </w:pPr>
      <w:r>
        <w:t>Сведения об организационно-штатной структуре (ОШС) по данным ФРМО ЕГИСЗ и ФРМР ЕГИСЗ отображаются в разделе «Организационно-штатная структура».</w:t>
      </w:r>
    </w:p>
    <w:p w14:paraId="719EB890">
      <w:pPr>
        <w:pStyle w:val="44"/>
      </w:pPr>
      <w:r>
        <w:t>Оператор МО должен убедиться, что сведения, отображаемые в ФПУМП, актуальны в части занятости конкретного медицинского работника на должности в подразделении МО и корректном оформлении действующих сертификата/аккредитации по соответствующей специальности.</w:t>
      </w:r>
    </w:p>
    <w:p w14:paraId="711B60F9">
      <w:pPr>
        <w:pStyle w:val="44"/>
        <w:rPr>
          <w:rFonts w:eastAsia="Arial Unicode MS"/>
        </w:rPr>
      </w:pPr>
      <w:r>
        <w:t xml:space="preserve">Для перехода в раздел в ленте главного меню нажать кнопку «Все разделы» и во </w:t>
      </w:r>
      <w:r>
        <w:rPr>
          <w:rFonts w:eastAsia="Arial Unicode MS"/>
        </w:rPr>
        <w:t xml:space="preserve">всплывающем меню выбрать вкладку «Организационно-штатная структура»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_Ref147222079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214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 xml:space="preserve">). Также можно выбрать тип сведений для просмотра: </w:t>
      </w:r>
    </w:p>
    <w:p w14:paraId="25857AE7">
      <w:pPr>
        <w:pStyle w:val="51"/>
      </w:pPr>
      <w:r>
        <w:t>«Медицинские организации»;</w:t>
      </w:r>
    </w:p>
    <w:p w14:paraId="0CC8BB30">
      <w:pPr>
        <w:pStyle w:val="51"/>
      </w:pPr>
      <w:r>
        <w:t>«Структурные подразделения»;</w:t>
      </w:r>
    </w:p>
    <w:p w14:paraId="0BC1D24E">
      <w:pPr>
        <w:pStyle w:val="51"/>
      </w:pPr>
      <w:r>
        <w:t>«Отделения и кабинеты»;</w:t>
      </w:r>
    </w:p>
    <w:p w14:paraId="13650535">
      <w:pPr>
        <w:pStyle w:val="51"/>
        <w:rPr>
          <w:rFonts w:eastAsia="Arial Unicode MS"/>
        </w:rPr>
      </w:pPr>
      <w:r>
        <w:t>«Занятость».</w:t>
      </w:r>
    </w:p>
    <w:p w14:paraId="4264299E">
      <w:pPr>
        <w:pStyle w:val="48"/>
      </w:pPr>
      <w:r>
        <w:rPr>
          <w14:ligatures w14:val="standardContextual"/>
        </w:rPr>
        <w:drawing>
          <wp:inline distT="0" distB="0" distL="0" distR="0">
            <wp:extent cx="5399405" cy="2779395"/>
            <wp:effectExtent l="19050" t="19050" r="10795" b="20955"/>
            <wp:docPr id="17003780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378023" name="Рисунок 1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798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9D614D">
      <w:pPr>
        <w:pStyle w:val="49"/>
      </w:pPr>
      <w:bookmarkStart w:id="862" w:name="_Ref1472220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214</w:t>
      </w:r>
      <w:r>
        <w:fldChar w:fldCharType="end"/>
      </w:r>
      <w:bookmarkEnd w:id="862"/>
      <w:r>
        <w:t xml:space="preserve"> — Всплывающее меню «Все разделы». Вкладки раздела «Организационно-штатная структура»</w:t>
      </w:r>
    </w:p>
    <w:p w14:paraId="3E2434B1">
      <w:pPr>
        <w:pStyle w:val="39"/>
        <w:rPr>
          <w:lang w:eastAsia="en-US"/>
        </w:rPr>
      </w:pPr>
      <w:bookmarkStart w:id="863" w:name="_Toc154661948"/>
      <w:bookmarkEnd w:id="863"/>
      <w:bookmarkStart w:id="864" w:name="_Toc154662989"/>
      <w:bookmarkEnd w:id="864"/>
      <w:bookmarkStart w:id="865" w:name="_Toc225871556"/>
      <w:bookmarkStart w:id="866" w:name="_Ref183013685"/>
      <w:bookmarkStart w:id="867" w:name="_Hlk147231460"/>
      <w:r>
        <w:rPr>
          <w:lang w:eastAsia="en-US"/>
        </w:rPr>
        <w:t>Просмотр сведений медицинской организации</w:t>
      </w:r>
      <w:bookmarkEnd w:id="865"/>
      <w:bookmarkEnd w:id="866"/>
    </w:p>
    <w:p w14:paraId="0F7C2CCB">
      <w:pPr>
        <w:pStyle w:val="44"/>
      </w:pPr>
      <w:r>
        <w:t xml:space="preserve">Для просмотра общих сведений </w:t>
      </w:r>
      <w:bookmarkEnd w:id="867"/>
      <w:r>
        <w:t xml:space="preserve">МО в разделе «Организационно-штатная структура» выбрать вкладку «Медицинские организации» для просмотра общих сведений МО (рис. </w:t>
      </w:r>
      <w:r>
        <w:fldChar w:fldCharType="begin"/>
      </w:r>
      <w:r>
        <w:instrText xml:space="preserve"> REF  _Ref182993899 \h\#\0   \* MERGEFORMAT </w:instrText>
      </w:r>
      <w:r>
        <w:fldChar w:fldCharType="separate"/>
      </w:r>
      <w:r>
        <w:t>215</w:t>
      </w:r>
      <w:r>
        <w:fldChar w:fldCharType="end"/>
      </w:r>
      <w:r>
        <w:t>).</w:t>
      </w:r>
    </w:p>
    <w:p w14:paraId="5B8E99F2">
      <w:pPr>
        <w:pStyle w:val="48"/>
      </w:pPr>
      <w:r>
        <w:drawing>
          <wp:inline distT="0" distB="0" distL="0" distR="0">
            <wp:extent cx="6119495" cy="890905"/>
            <wp:effectExtent l="19050" t="19050" r="14605" b="23495"/>
            <wp:docPr id="18623321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332161" name="Рисунок 1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909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A2EA18E">
      <w:pPr>
        <w:pStyle w:val="49"/>
      </w:pPr>
      <w:bookmarkStart w:id="868" w:name="_Ref1829938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215</w:t>
      </w:r>
      <w:r>
        <w:fldChar w:fldCharType="end"/>
      </w:r>
      <w:bookmarkEnd w:id="868"/>
      <w:r>
        <w:t xml:space="preserve"> — Раздел «Организационно-штатная структура». Подраздел «Медицинские организации»</w:t>
      </w:r>
    </w:p>
    <w:p w14:paraId="66BE515B">
      <w:pPr>
        <w:pStyle w:val="44"/>
      </w:pPr>
      <w:r>
        <w:t xml:space="preserve">Панель «Фильтр» подраздела «Медицинские организации» позволяет отсортировать данные по филиалам МО. Отметка «Показать только ГМО» позволяет отобрать данные только по головной медицинской организации (рис. </w:t>
      </w:r>
      <w:r>
        <w:fldChar w:fldCharType="begin"/>
      </w:r>
      <w:r>
        <w:instrText xml:space="preserve"> REF  _Ref214631699 \h \t \#\0 \* MERGEFORMAT </w:instrText>
      </w:r>
      <w:r>
        <w:fldChar w:fldCharType="separate"/>
      </w:r>
      <w:r>
        <w:t>216</w:t>
      </w:r>
      <w:r>
        <w:fldChar w:fldCharType="end"/>
      </w:r>
      <w:r>
        <w:t>).</w:t>
      </w:r>
    </w:p>
    <w:p w14:paraId="3EE81C68">
      <w:pPr>
        <w:pStyle w:val="48"/>
      </w:pPr>
      <w:r>
        <w:drawing>
          <wp:inline distT="0" distB="0" distL="0" distR="0">
            <wp:extent cx="2159635" cy="1235710"/>
            <wp:effectExtent l="19050" t="19050" r="12065" b="21590"/>
            <wp:docPr id="19083748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374865" name="Рисунок 1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23622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1F8C28">
      <w:pPr>
        <w:pStyle w:val="49"/>
      </w:pPr>
      <w:bookmarkStart w:id="869" w:name="_Ref2146316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216</w:t>
      </w:r>
      <w:r>
        <w:fldChar w:fldCharType="end"/>
      </w:r>
      <w:bookmarkEnd w:id="869"/>
      <w:r>
        <w:t xml:space="preserve"> — Фильтр подраздела «Медицинские организации»</w:t>
      </w:r>
    </w:p>
    <w:p w14:paraId="67588AA6">
      <w:pPr>
        <w:pStyle w:val="44"/>
      </w:pPr>
      <w:r>
        <w:t>Табличная часть подраздела «Медицинские организации» содержит:</w:t>
      </w:r>
    </w:p>
    <w:p w14:paraId="4ACBF34C">
      <w:pPr>
        <w:pStyle w:val="51"/>
      </w:pPr>
      <w:r>
        <w:t>«Код МО в системе ОМС»;</w:t>
      </w:r>
    </w:p>
    <w:p w14:paraId="0D418128">
      <w:pPr>
        <w:pStyle w:val="51"/>
      </w:pPr>
      <w:r>
        <w:t>«OID» — код МО по справочнику ФРМО;</w:t>
      </w:r>
    </w:p>
    <w:p w14:paraId="25048724">
      <w:pPr>
        <w:pStyle w:val="51"/>
      </w:pPr>
      <w:r>
        <w:t>«Наименование»;</w:t>
      </w:r>
    </w:p>
    <w:p w14:paraId="39C13EFA">
      <w:pPr>
        <w:pStyle w:val="51"/>
      </w:pPr>
      <w:r>
        <w:t xml:space="preserve">«Дата начала действия записи в ФРМО» </w:t>
      </w:r>
      <w:bookmarkStart w:id="870" w:name="_Hlk183084967"/>
      <w:r>
        <w:t xml:space="preserve">— сведения о дате начала действия записи о МО в ФПУМП по данным </w:t>
      </w:r>
      <w:bookmarkEnd w:id="870"/>
      <w:r>
        <w:t>ФРМО;</w:t>
      </w:r>
    </w:p>
    <w:p w14:paraId="4599E0ED">
      <w:pPr>
        <w:pStyle w:val="51"/>
      </w:pPr>
      <w:r>
        <w:t>«Дата окончания действия записи в ФРМО» — сведения о дате окончания действия записи о МО в ФПУМП по данным ФРМО;</w:t>
      </w:r>
    </w:p>
    <w:p w14:paraId="3B56B159">
      <w:pPr>
        <w:pStyle w:val="51"/>
      </w:pPr>
      <w:bookmarkStart w:id="871" w:name="_Hlk205567006"/>
      <w:r>
        <w:drawing>
          <wp:inline distT="0" distB="0" distL="0" distR="0">
            <wp:extent cx="190500" cy="180975"/>
            <wp:effectExtent l="19050" t="19050" r="19050" b="9525"/>
            <wp:docPr id="20078709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870961" name="Рисунок 1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</w:p>
    <w:p w14:paraId="07DE8797">
      <w:pPr>
        <w:pStyle w:val="44"/>
      </w:pPr>
      <w:r>
        <w:t>Доступна сортировка при нажатии на наименование столбца.</w:t>
      </w:r>
    </w:p>
    <w:p w14:paraId="7F0460AD">
      <w:pPr>
        <w:pStyle w:val="44"/>
      </w:pPr>
      <w:r>
        <w:t>Доступен поиск МО по сочетанию клавиш «</w:t>
      </w:r>
      <w:r>
        <w:rPr>
          <w:lang w:val="en-US"/>
        </w:rPr>
        <w:t>Ctrl</w:t>
      </w:r>
      <w:r>
        <w:t>» + «</w:t>
      </w:r>
      <w:r>
        <w:rPr>
          <w:lang w:val="en-US"/>
        </w:rPr>
        <w:t>F</w:t>
      </w:r>
      <w:r>
        <w:t>».</w:t>
      </w:r>
    </w:p>
    <w:bookmarkEnd w:id="871"/>
    <w:p w14:paraId="4DD2219A">
      <w:pPr>
        <w:pStyle w:val="39"/>
      </w:pPr>
      <w:bookmarkStart w:id="872" w:name="_Toc164866515"/>
      <w:bookmarkStart w:id="873" w:name="_Ref147233499"/>
      <w:bookmarkStart w:id="874" w:name="_Toc149209631"/>
      <w:bookmarkStart w:id="875" w:name="_Toc225871557"/>
      <w:r>
        <w:t>Просмотр сведений о структурных подразделениях</w:t>
      </w:r>
      <w:bookmarkEnd w:id="872"/>
      <w:bookmarkEnd w:id="873"/>
      <w:bookmarkEnd w:id="874"/>
      <w:bookmarkEnd w:id="875"/>
    </w:p>
    <w:p w14:paraId="7DC53E0E">
      <w:pPr>
        <w:pStyle w:val="44"/>
      </w:pPr>
      <w:bookmarkStart w:id="876" w:name="_Hlk146554740"/>
      <w:r>
        <w:t xml:space="preserve">Для просмотра общих сведений о структурных подразделениях МО в разделе «Организационно-штатная структура» выбрать вкладку «Структурные подразделения» (рис. </w:t>
      </w:r>
      <w:r>
        <w:fldChar w:fldCharType="begin"/>
      </w:r>
      <w:r>
        <w:instrText xml:space="preserve"> REF  _Ref182994637 \h\#\0   \* MERGEFORMAT </w:instrText>
      </w:r>
      <w:r>
        <w:fldChar w:fldCharType="separate"/>
      </w:r>
      <w:r>
        <w:t>217</w:t>
      </w:r>
      <w:r>
        <w:fldChar w:fldCharType="end"/>
      </w:r>
      <w:r>
        <w:t>).</w:t>
      </w:r>
    </w:p>
    <w:p w14:paraId="2FE12FF1">
      <w:pPr>
        <w:pStyle w:val="48"/>
      </w:pPr>
      <w:r>
        <w:rPr>
          <w14:ligatures w14:val="standardContextual"/>
        </w:rPr>
        <w:t xml:space="preserve"> </w:t>
      </w:r>
      <w:r>
        <w:drawing>
          <wp:inline distT="0" distB="0" distL="0" distR="0">
            <wp:extent cx="6119495" cy="3252470"/>
            <wp:effectExtent l="19050" t="19050" r="14605" b="24130"/>
            <wp:docPr id="14484997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499766" name="Рисунок 1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24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F901FF">
      <w:pPr>
        <w:pStyle w:val="49"/>
      </w:pPr>
      <w:bookmarkStart w:id="877" w:name="_Ref1829946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217</w:t>
      </w:r>
      <w:r>
        <w:fldChar w:fldCharType="end"/>
      </w:r>
      <w:bookmarkEnd w:id="877"/>
      <w:r>
        <w:t xml:space="preserve"> — Раздел «Организационно-штатная структура». Подраздел «Структурные подразделения»</w:t>
      </w:r>
    </w:p>
    <w:p w14:paraId="6C6F2D28">
      <w:pPr>
        <w:pStyle w:val="44"/>
      </w:pPr>
      <w:r>
        <w:t>Панель «Фильтр» позволяет отсортировать данные в соответствии с параметрами поиска. Отметка «Показать только ГМО» позволяет отобрать данные только по головной медицинской организации.</w:t>
      </w:r>
    </w:p>
    <w:p w14:paraId="125E97BA">
      <w:pPr>
        <w:pStyle w:val="48"/>
      </w:pPr>
      <w:r>
        <w:drawing>
          <wp:inline distT="0" distB="0" distL="0" distR="0">
            <wp:extent cx="2915920" cy="1710055"/>
            <wp:effectExtent l="19050" t="19050" r="17780" b="23495"/>
            <wp:docPr id="943446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446263" name="Рисунок 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7105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80420C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218</w:t>
      </w:r>
      <w:r>
        <w:fldChar w:fldCharType="end"/>
      </w:r>
      <w:r>
        <w:t xml:space="preserve"> — Фильтр подраздела «Структурные подразделения»</w:t>
      </w:r>
    </w:p>
    <w:p w14:paraId="396A62D8">
      <w:pPr>
        <w:pStyle w:val="44"/>
      </w:pPr>
      <w:r>
        <w:t>Табличная часть подраздела «Структурные подразделения» содержит основные данные МО в столбцах:</w:t>
      </w:r>
    </w:p>
    <w:p w14:paraId="6B8F0B33">
      <w:pPr>
        <w:pStyle w:val="51"/>
      </w:pPr>
      <w:r>
        <w:t>«OID СП» — код структурного подразделения по справочнику ФРМО;</w:t>
      </w:r>
    </w:p>
    <w:p w14:paraId="4335E849">
      <w:pPr>
        <w:pStyle w:val="51"/>
      </w:pPr>
      <w:r>
        <w:t>«Наименование СП» — наименование структурного подразделения;</w:t>
      </w:r>
    </w:p>
    <w:p w14:paraId="061D2339">
      <w:pPr>
        <w:pStyle w:val="51"/>
      </w:pPr>
      <w:r>
        <w:t>«OID головной МО» — код головной МО по справочнику ФРМО;</w:t>
      </w:r>
    </w:p>
    <w:p w14:paraId="03BCF483">
      <w:pPr>
        <w:pStyle w:val="51"/>
      </w:pPr>
      <w:r>
        <w:t>«</w:t>
      </w:r>
      <w:r>
        <w:rPr>
          <w:lang w:val="en-US"/>
        </w:rPr>
        <w:t>OID</w:t>
      </w:r>
      <w:r>
        <w:t xml:space="preserve"> МО» — код МО по справочнику ФРМО;</w:t>
      </w:r>
    </w:p>
    <w:p w14:paraId="3D5099D5">
      <w:pPr>
        <w:pStyle w:val="51"/>
      </w:pPr>
      <w:r>
        <w:t xml:space="preserve">«Дата начала» — </w:t>
      </w:r>
      <w:bookmarkStart w:id="878" w:name="_Hlk183028013"/>
      <w:r>
        <w:t>сведения о дате начала действия записи о СП в ФПУМП по данным мастер НСИ ГИС ОМС</w:t>
      </w:r>
      <w:bookmarkEnd w:id="878"/>
      <w:r>
        <w:t>;</w:t>
      </w:r>
    </w:p>
    <w:p w14:paraId="582A5220">
      <w:pPr>
        <w:pStyle w:val="51"/>
      </w:pPr>
      <w:r>
        <w:t>«Дата окончания» — сведения о дате окончания действия записи о СП в ФПУМП по данным мастер НСИ ГИС ОМС;</w:t>
      </w:r>
    </w:p>
    <w:p w14:paraId="03FBD8E9">
      <w:pPr>
        <w:pStyle w:val="51"/>
      </w:pPr>
      <w:r>
        <w:drawing>
          <wp:inline distT="0" distB="0" distL="0" distR="0">
            <wp:extent cx="190500" cy="180975"/>
            <wp:effectExtent l="19050" t="19050" r="19050" b="9525"/>
            <wp:docPr id="1488086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86106" name="Рисунок 1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</w:t>
      </w:r>
      <w:bookmarkEnd w:id="876"/>
      <w:r>
        <w:t>.</w:t>
      </w:r>
    </w:p>
    <w:p w14:paraId="6DB7155E">
      <w:pPr>
        <w:pStyle w:val="39"/>
      </w:pPr>
      <w:bookmarkStart w:id="879" w:name="_Ref147161945"/>
      <w:bookmarkStart w:id="880" w:name="_Toc164866516"/>
      <w:bookmarkStart w:id="881" w:name="_Toc149209632"/>
      <w:bookmarkStart w:id="882" w:name="_Toc225871558"/>
      <w:r>
        <w:t>Просмотр сведений об отделениях и кабинет</w:t>
      </w:r>
      <w:bookmarkEnd w:id="879"/>
      <w:bookmarkEnd w:id="880"/>
      <w:bookmarkEnd w:id="881"/>
      <w:r>
        <w:t>ах</w:t>
      </w:r>
      <w:bookmarkEnd w:id="882"/>
    </w:p>
    <w:p w14:paraId="23BBBA93">
      <w:pPr>
        <w:pStyle w:val="44"/>
      </w:pPr>
      <w:r>
        <w:t xml:space="preserve">Для просмотра </w:t>
      </w:r>
      <w:bookmarkStart w:id="883" w:name="_Hlk148703010"/>
      <w:r>
        <w:t xml:space="preserve">сведений об отделениях и кабинетах </w:t>
      </w:r>
      <w:bookmarkEnd w:id="883"/>
      <w:r>
        <w:t>в разделе «Организационно-штатная структура» выбрать вкладку «Отделения и кабинеты». (рис.</w:t>
      </w:r>
      <w:r>
        <w:fldChar w:fldCharType="begin"/>
      </w:r>
      <w:r>
        <w:instrText xml:space="preserve"> REF  _Ref133509438 \h\#\0   \* MERGEFORMAT </w:instrText>
      </w:r>
      <w:r>
        <w:fldChar w:fldCharType="separate"/>
      </w:r>
      <w:r>
        <w:t>219</w:t>
      </w:r>
      <w:r>
        <w:fldChar w:fldCharType="end"/>
      </w:r>
      <w:r>
        <w:t>).</w:t>
      </w:r>
    </w:p>
    <w:p w14:paraId="7F3CC22F">
      <w:pPr>
        <w:pStyle w:val="48"/>
        <w:rPr>
          <w:lang w:val="en-US"/>
        </w:rPr>
      </w:pPr>
      <w:r>
        <w:drawing>
          <wp:inline distT="0" distB="0" distL="0" distR="0">
            <wp:extent cx="6119495" cy="3255010"/>
            <wp:effectExtent l="19050" t="19050" r="14605" b="21590"/>
            <wp:docPr id="1940356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35603" name="Рисунок 1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50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8F28AF8">
      <w:pPr>
        <w:pStyle w:val="49"/>
      </w:pPr>
      <w:bookmarkStart w:id="884" w:name="_Ref1335094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219</w:t>
      </w:r>
      <w:r>
        <w:fldChar w:fldCharType="end"/>
      </w:r>
      <w:bookmarkEnd w:id="884"/>
      <w:r>
        <w:t xml:space="preserve"> — Раздел «Организационно-штатная структура». Подраздел «Отделения и кабинеты»</w:t>
      </w:r>
    </w:p>
    <w:p w14:paraId="02EF02F2">
      <w:pPr>
        <w:pStyle w:val="44"/>
      </w:pPr>
      <w:r>
        <w:t>Панель «Фильтр» позволяет отсортировать данные в соответствии с параметрами поиска. Отметка «Показать только ГМО» позволяет отобрать данные только по головной медицинской организации.</w:t>
      </w:r>
    </w:p>
    <w:p w14:paraId="2650B045">
      <w:pPr>
        <w:pStyle w:val="48"/>
      </w:pPr>
      <w:r>
        <w:drawing>
          <wp:inline distT="0" distB="0" distL="0" distR="0">
            <wp:extent cx="2915920" cy="1710055"/>
            <wp:effectExtent l="19050" t="19050" r="17780" b="23495"/>
            <wp:docPr id="11850414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041497" name="Рисунок 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7105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86FCF2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220</w:t>
      </w:r>
      <w:r>
        <w:fldChar w:fldCharType="end"/>
      </w:r>
      <w:r>
        <w:t xml:space="preserve"> — Фильтр подраздела «Отделения и кабинеты»</w:t>
      </w:r>
    </w:p>
    <w:p w14:paraId="6882D824">
      <w:pPr>
        <w:pStyle w:val="44"/>
      </w:pPr>
      <w:r>
        <w:t>Табличная часть содержит основные данные в столбцах:</w:t>
      </w:r>
    </w:p>
    <w:p w14:paraId="7EAACDB1">
      <w:pPr>
        <w:pStyle w:val="51"/>
      </w:pPr>
      <w:bookmarkStart w:id="885" w:name="_Hlk205568785"/>
      <w:r>
        <w:t>«Тип записи» — наименование типа: отделение или кабинет;</w:t>
      </w:r>
    </w:p>
    <w:p w14:paraId="79A1FFBA">
      <w:pPr>
        <w:pStyle w:val="51"/>
      </w:pPr>
      <w:r>
        <w:t>«</w:t>
      </w:r>
      <w:r>
        <w:rPr>
          <w:lang w:val="en-US"/>
        </w:rPr>
        <w:t>OID</w:t>
      </w:r>
      <w:r>
        <w:t xml:space="preserve"> отделения/кабинета» — код отделения/кабинета по справочнику ФРМО;</w:t>
      </w:r>
    </w:p>
    <w:p w14:paraId="56DC694C">
      <w:pPr>
        <w:pStyle w:val="51"/>
      </w:pPr>
      <w:r>
        <w:t>«Тип отделения/кабинета» — наименование отделения/кабинета по справочнику ФРМО;</w:t>
      </w:r>
    </w:p>
    <w:p w14:paraId="60C063A5">
      <w:pPr>
        <w:pStyle w:val="51"/>
      </w:pPr>
      <w:r>
        <w:t>«Категория пациентов» — наименование категории по справочнику ФРМО. Возможные варианты:</w:t>
      </w:r>
    </w:p>
    <w:p w14:paraId="4FBBA561">
      <w:pPr>
        <w:pStyle w:val="77"/>
        <w:ind w:left="1134"/>
      </w:pPr>
      <w:r>
        <w:t>«Дети»;</w:t>
      </w:r>
    </w:p>
    <w:p w14:paraId="6CC45E6A">
      <w:pPr>
        <w:pStyle w:val="77"/>
        <w:ind w:left="1134"/>
      </w:pPr>
      <w:r>
        <w:t>«Взрослые»;</w:t>
      </w:r>
    </w:p>
    <w:p w14:paraId="44670317">
      <w:pPr>
        <w:pStyle w:val="77"/>
        <w:ind w:left="1134"/>
      </w:pPr>
      <w:r>
        <w:t>«Общие»;</w:t>
      </w:r>
    </w:p>
    <w:p w14:paraId="3EEE697D">
      <w:pPr>
        <w:pStyle w:val="51"/>
      </w:pPr>
      <w:r>
        <w:t>«</w:t>
      </w:r>
      <w:r>
        <w:rPr>
          <w:lang w:val="en-US"/>
        </w:rPr>
        <w:t>OID</w:t>
      </w:r>
      <w:r>
        <w:t xml:space="preserve"> СП» — код структурного подразделения по справочнику ФРМО;</w:t>
      </w:r>
    </w:p>
    <w:p w14:paraId="5B51BBF9">
      <w:pPr>
        <w:pStyle w:val="51"/>
      </w:pPr>
      <w:r>
        <w:t>«</w:t>
      </w:r>
      <w:r>
        <w:rPr>
          <w:lang w:val="en-US"/>
        </w:rPr>
        <w:t>OID</w:t>
      </w:r>
      <w:r>
        <w:t xml:space="preserve"> МО» — код МО по справочнику ФРМО;</w:t>
      </w:r>
    </w:p>
    <w:p w14:paraId="69A517F2">
      <w:pPr>
        <w:pStyle w:val="51"/>
      </w:pPr>
      <w:r>
        <w:drawing>
          <wp:inline distT="0" distB="0" distL="0" distR="0">
            <wp:extent cx="190500" cy="180975"/>
            <wp:effectExtent l="19050" t="19050" r="19050" b="9525"/>
            <wp:docPr id="18718610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861031" name="Рисунок 1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</w:p>
    <w:bookmarkEnd w:id="885"/>
    <w:p w14:paraId="6DDC8064">
      <w:pPr>
        <w:pStyle w:val="39"/>
      </w:pPr>
      <w:bookmarkStart w:id="886" w:name="_Toc149209629"/>
      <w:bookmarkStart w:id="887" w:name="_Ref182996243"/>
      <w:bookmarkStart w:id="888" w:name="_Toc164866513"/>
      <w:bookmarkStart w:id="889" w:name="_Ref148710946"/>
      <w:bookmarkStart w:id="890" w:name="_Toc225871559"/>
      <w:r>
        <w:t xml:space="preserve">Просмотр сведений о занятости медицинских </w:t>
      </w:r>
      <w:bookmarkEnd w:id="886"/>
      <w:bookmarkEnd w:id="887"/>
      <w:bookmarkEnd w:id="888"/>
      <w:bookmarkEnd w:id="889"/>
      <w:r>
        <w:t>работниках</w:t>
      </w:r>
      <w:bookmarkEnd w:id="890"/>
    </w:p>
    <w:p w14:paraId="4A562E9B">
      <w:pPr>
        <w:pStyle w:val="44"/>
      </w:pPr>
      <w:r>
        <w:t>Для просмотра сведений о занятости в разделе «Организационно-штатная структура» выбрать вкладку «Занятость».</w:t>
      </w:r>
    </w:p>
    <w:p w14:paraId="36026486">
      <w:pPr>
        <w:pStyle w:val="44"/>
      </w:pPr>
      <w:bookmarkStart w:id="891" w:name="_Hlk205568845"/>
      <w:r>
        <w:t>В панели «Фильтр» ввести требуемые значения и нажать «Найти». Отметка «Показать только ГМО» позволяет отобрать только головные медицинские организации.</w:t>
      </w:r>
    </w:p>
    <w:p w14:paraId="14D74272">
      <w:pPr>
        <w:pStyle w:val="48"/>
      </w:pPr>
      <w:r>
        <w:drawing>
          <wp:inline distT="0" distB="0" distL="0" distR="0">
            <wp:extent cx="2915920" cy="1710055"/>
            <wp:effectExtent l="19050" t="19050" r="17780" b="23495"/>
            <wp:docPr id="1642862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86264" name="Рисунок 1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7105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1CDA1F">
      <w:pPr>
        <w:pStyle w:val="49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221</w:t>
      </w:r>
      <w:r>
        <w:fldChar w:fldCharType="end"/>
      </w:r>
      <w:r>
        <w:t xml:space="preserve"> — Фильтр подраздела «Занятость»</w:t>
      </w:r>
    </w:p>
    <w:bookmarkEnd w:id="891"/>
    <w:p w14:paraId="3F3664B4">
      <w:pPr>
        <w:pStyle w:val="44"/>
      </w:pPr>
      <w:r>
        <w:rPr>
          <w:rFonts w:eastAsia="Arial Unicode MS"/>
        </w:rPr>
        <w:t>В рабочей области отобразятся данные о занятости медицинских работников в соответствии с заданными параметрами фильтра</w:t>
      </w:r>
      <w:r>
        <w:t xml:space="preserve"> (рис. </w:t>
      </w:r>
      <w:r>
        <w:fldChar w:fldCharType="begin"/>
      </w:r>
      <w:r>
        <w:instrText xml:space="preserve"> REF  _Ref147227605 \h\#\0   \* MERGEFORMAT </w:instrText>
      </w:r>
      <w:r>
        <w:fldChar w:fldCharType="separate"/>
      </w:r>
      <w:r>
        <w:t>222</w:t>
      </w:r>
      <w:r>
        <w:fldChar w:fldCharType="end"/>
      </w:r>
      <w:r>
        <w:t>).</w:t>
      </w:r>
    </w:p>
    <w:p w14:paraId="24C22848">
      <w:pPr>
        <w:pStyle w:val="48"/>
      </w:pPr>
      <w:r>
        <w:drawing>
          <wp:inline distT="0" distB="0" distL="0" distR="0">
            <wp:extent cx="6119495" cy="3202940"/>
            <wp:effectExtent l="19050" t="19050" r="14605" b="16510"/>
            <wp:docPr id="18744205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420557" name="Рисунок 1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029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90124B">
      <w:pPr>
        <w:pStyle w:val="49"/>
      </w:pPr>
      <w:bookmarkStart w:id="892" w:name="_Ref14722760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222</w:t>
      </w:r>
      <w:r>
        <w:fldChar w:fldCharType="end"/>
      </w:r>
      <w:bookmarkEnd w:id="892"/>
      <w:r>
        <w:t xml:space="preserve"> — Раздел «Организационно-штатная структура». Подраздел «Занятость»</w:t>
      </w:r>
    </w:p>
    <w:p w14:paraId="6B935122">
      <w:pPr>
        <w:pStyle w:val="44"/>
      </w:pPr>
      <w:r>
        <w:t>Табличная часть содержит сведения о занятости в столбцах:</w:t>
      </w:r>
    </w:p>
    <w:p w14:paraId="7C3D53F7">
      <w:pPr>
        <w:pStyle w:val="51"/>
      </w:pPr>
      <w:r>
        <w:t>«№ п/п» — порядковый номер записи;</w:t>
      </w:r>
    </w:p>
    <w:p w14:paraId="57CB2BD5">
      <w:pPr>
        <w:pStyle w:val="51"/>
      </w:pPr>
      <w:r>
        <w:t>«</w:t>
      </w:r>
      <w:r>
        <w:rPr>
          <w:lang w:val="en-US"/>
        </w:rPr>
        <w:t>ID</w:t>
      </w:r>
      <w:r>
        <w:t>» — идентификатор записи занятости в ФРМР;</w:t>
      </w:r>
    </w:p>
    <w:p w14:paraId="285D6305">
      <w:pPr>
        <w:pStyle w:val="51"/>
      </w:pPr>
      <w:r>
        <w:t>«Медицинский работник»;</w:t>
      </w:r>
    </w:p>
    <w:p w14:paraId="21AC8C16">
      <w:pPr>
        <w:pStyle w:val="51"/>
      </w:pPr>
      <w:r>
        <w:t>«Должность»;</w:t>
      </w:r>
    </w:p>
    <w:p w14:paraId="7386F697">
      <w:pPr>
        <w:pStyle w:val="51"/>
      </w:pPr>
      <w:r>
        <w:t>«</w:t>
      </w:r>
      <w:r>
        <w:rPr>
          <w:lang w:val="en-US"/>
        </w:rPr>
        <w:t>OID</w:t>
      </w:r>
      <w:r>
        <w:t xml:space="preserve"> отделения/кабинета» — код отделения/кабинета по справочнику ФРМО;</w:t>
      </w:r>
    </w:p>
    <w:p w14:paraId="1BAEED74">
      <w:pPr>
        <w:pStyle w:val="51"/>
      </w:pPr>
      <w:r>
        <w:t>«</w:t>
      </w:r>
      <w:r>
        <w:rPr>
          <w:lang w:val="en-US"/>
        </w:rPr>
        <w:t>OID</w:t>
      </w:r>
      <w:r>
        <w:t xml:space="preserve"> СП» — код структурного подразделения по справочнику ФРМО;</w:t>
      </w:r>
    </w:p>
    <w:p w14:paraId="20D83284">
      <w:pPr>
        <w:pStyle w:val="51"/>
      </w:pPr>
      <w:r>
        <w:t>«</w:t>
      </w:r>
      <w:r>
        <w:rPr>
          <w:lang w:val="en-US"/>
        </w:rPr>
        <w:t>OID</w:t>
      </w:r>
      <w:r>
        <w:t xml:space="preserve"> МО» — код МО по справочнику ФРМО;</w:t>
      </w:r>
    </w:p>
    <w:p w14:paraId="0CE7527C">
      <w:pPr>
        <w:pStyle w:val="51"/>
      </w:pPr>
      <w:r>
        <w:t xml:space="preserve">«Дата начала </w:t>
      </w:r>
      <w:bookmarkStart w:id="893" w:name="_Hlk214630571"/>
      <w:r>
        <w:t>работы по данным ФРМР</w:t>
      </w:r>
      <w:bookmarkEnd w:id="893"/>
      <w:r>
        <w:t xml:space="preserve">» </w:t>
      </w:r>
      <w:bookmarkStart w:id="894" w:name="_Hlk183029029"/>
      <w:r>
        <w:t xml:space="preserve">— сведения о дате начала действия записи о занятости в ФПУМП по данным </w:t>
      </w:r>
      <w:bookmarkEnd w:id="894"/>
      <w:r>
        <w:t>ФРМР;</w:t>
      </w:r>
    </w:p>
    <w:p w14:paraId="215428EE">
      <w:pPr>
        <w:pStyle w:val="51"/>
      </w:pPr>
      <w:r>
        <w:t>«Дата окончания работы по данным ФРМР» — сведения о дате окончания действия записи о занятости в ФПУМП по данным ФРМР;</w:t>
      </w:r>
    </w:p>
    <w:p w14:paraId="270AE54E">
      <w:pPr>
        <w:pStyle w:val="51"/>
      </w:pPr>
      <w:r>
        <w:t>«Настройки» — отбор столбцов для отображения;</w:t>
      </w:r>
    </w:p>
    <w:p w14:paraId="3B644ABC">
      <w:pPr>
        <w:pStyle w:val="51"/>
      </w:pPr>
      <w:bookmarkStart w:id="895" w:name="_Hlk183029057"/>
      <w:r>
        <w:t xml:space="preserve">Кнопка перехода в карточку занятости — </w:t>
      </w:r>
      <w:r>
        <w:drawing>
          <wp:inline distT="0" distB="0" distL="0" distR="0">
            <wp:extent cx="247650" cy="200025"/>
            <wp:effectExtent l="19050" t="19050" r="19050" b="28575"/>
            <wp:docPr id="1894871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871123" name="Рисунок 1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0005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bookmarkEnd w:id="895"/>
    </w:p>
    <w:p w14:paraId="412811EA">
      <w:pPr>
        <w:pStyle w:val="44"/>
      </w:pPr>
      <w:r>
        <w:t>Для поиска и просмотра сведений о занятости необходимо в блоках панели фильтрации указать критерии поиска и нажать кнопку «Найти».</w:t>
      </w:r>
    </w:p>
    <w:p w14:paraId="3944057D">
      <w:pPr>
        <w:pStyle w:val="44"/>
      </w:pPr>
      <w:r>
        <w:t>Для поиска по новым параметрам нажать кнопку «Очистить». Указать параметры поиска и нажать кнопку «Найти».</w:t>
      </w:r>
    </w:p>
    <w:p w14:paraId="01937131">
      <w:pPr>
        <w:pStyle w:val="44"/>
      </w:pPr>
      <w:r>
        <w:t xml:space="preserve">После нажатия кнопки «Найти» в рабочей области в подразделе «Занятость» отобразятся </w:t>
      </w:r>
      <w:bookmarkStart w:id="896" w:name="_Hlk149648075"/>
      <w:r>
        <w:t>результаты, соответствующие поисковому запросу</w:t>
      </w:r>
      <w:bookmarkEnd w:id="896"/>
      <w:r>
        <w:t>.</w:t>
      </w:r>
    </w:p>
    <w:p w14:paraId="277F7853">
      <w:pPr>
        <w:pStyle w:val="44"/>
      </w:pPr>
      <w:r>
        <w:t xml:space="preserve">Для просмотра детальных сведений о занятости медицинского работника перейти в карточку занятости, нажав </w:t>
      </w:r>
      <w:r>
        <w:drawing>
          <wp:inline distT="0" distB="0" distL="0" distR="0">
            <wp:extent cx="247650" cy="200025"/>
            <wp:effectExtent l="19050" t="19050" r="19050" b="28575"/>
            <wp:docPr id="3098563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56324" name="Рисунок 1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0005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строке записи. В карточке занятости сведения сгруппированы на вкладках:</w:t>
      </w:r>
    </w:p>
    <w:p w14:paraId="62A9EF75">
      <w:pPr>
        <w:pStyle w:val="51"/>
      </w:pPr>
      <w:r>
        <w:t>«Основное»;</w:t>
      </w:r>
    </w:p>
    <w:p w14:paraId="2C544F32">
      <w:pPr>
        <w:pStyle w:val="51"/>
      </w:pPr>
      <w:r>
        <w:t>«Сертификат»;</w:t>
      </w:r>
    </w:p>
    <w:p w14:paraId="396EF606">
      <w:pPr>
        <w:pStyle w:val="51"/>
      </w:pPr>
      <w:r>
        <w:t>«Аккредитация»;</w:t>
      </w:r>
    </w:p>
    <w:p w14:paraId="6311A188">
      <w:pPr>
        <w:pStyle w:val="51"/>
      </w:pPr>
      <w:r>
        <w:t>«Услуги»</w:t>
      </w:r>
      <w:r>
        <w:rPr>
          <w:lang w:val="en-US"/>
        </w:rPr>
        <w:t>;</w:t>
      </w:r>
    </w:p>
    <w:p w14:paraId="06DF1C47">
      <w:pPr>
        <w:pStyle w:val="51"/>
      </w:pPr>
      <w:r>
        <w:t>«Удостоверение эксперта»</w:t>
      </w:r>
      <w:r>
        <w:rPr>
          <w:lang w:val="en-US"/>
        </w:rPr>
        <w:t>.</w:t>
      </w:r>
    </w:p>
    <w:p w14:paraId="3E8815F3">
      <w:pPr>
        <w:pStyle w:val="44"/>
      </w:pPr>
      <w:r>
        <w:t xml:space="preserve">Карточка занятости представлена на рисунке </w:t>
      </w:r>
      <w:r>
        <w:fldChar w:fldCharType="begin"/>
      </w:r>
      <w:r>
        <w:instrText xml:space="preserve"> REF  _Ref133571661 \h \t\#\0 \* MERGEFORMAT </w:instrText>
      </w:r>
      <w:r>
        <w:fldChar w:fldCharType="separate"/>
      </w:r>
      <w:r>
        <w:t>223</w:t>
      </w:r>
      <w:r>
        <w:fldChar w:fldCharType="end"/>
      </w:r>
      <w:r>
        <w:t>.</w:t>
      </w:r>
    </w:p>
    <w:p w14:paraId="1650D0AD">
      <w:pPr>
        <w:pStyle w:val="48"/>
      </w:pPr>
      <w:r>
        <w:drawing>
          <wp:inline distT="0" distB="0" distL="0" distR="0">
            <wp:extent cx="2879725" cy="2499995"/>
            <wp:effectExtent l="19050" t="19050" r="15875" b="14605"/>
            <wp:docPr id="5441469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146949" name="Рисунок 1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0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5623B30">
      <w:pPr>
        <w:pStyle w:val="49"/>
      </w:pPr>
      <w:bookmarkStart w:id="897" w:name="_Ref1335716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223</w:t>
      </w:r>
      <w:r>
        <w:fldChar w:fldCharType="end"/>
      </w:r>
      <w:bookmarkEnd w:id="897"/>
      <w:r>
        <w:t xml:space="preserve"> — Карточка занятости. Основное</w:t>
      </w:r>
    </w:p>
    <w:p w14:paraId="14857F13">
      <w:pPr>
        <w:pStyle w:val="44"/>
      </w:pPr>
      <w:r>
        <w:t>Карточка занятости содержит следующие вкладки:</w:t>
      </w:r>
    </w:p>
    <w:p w14:paraId="6068BF30">
      <w:pPr>
        <w:pStyle w:val="51"/>
      </w:pPr>
      <w:r>
        <w:t xml:space="preserve">«Основное» — содержит основные сведения: номер трудового договора, дата заключения трудового договора, тип должности, должность, дата начала работы, дата окончания работы, оказываемые медицинские услуги, признак выдачи льготных рецептов (рис. </w:t>
      </w:r>
      <w:r>
        <w:fldChar w:fldCharType="begin"/>
      </w:r>
      <w:r>
        <w:instrText xml:space="preserve"> REF  _Ref133571661 \h\#\0   \* MERGEFORMAT </w:instrText>
      </w:r>
      <w:r>
        <w:fldChar w:fldCharType="separate"/>
      </w:r>
      <w:r>
        <w:t>223</w:t>
      </w:r>
      <w:r>
        <w:fldChar w:fldCharType="end"/>
      </w:r>
      <w:r>
        <w:t>);</w:t>
      </w:r>
    </w:p>
    <w:p w14:paraId="2D7B72A0">
      <w:pPr>
        <w:pStyle w:val="51"/>
      </w:pPr>
      <w:r>
        <w:t xml:space="preserve">«Сертификат» — содержит основные сведения о сертификате: серия и номер, специальность, дата сдачи экзамена, образовательное учреждение, дата выдачи, дата окончания действия (рис. </w:t>
      </w:r>
      <w:r>
        <w:fldChar w:fldCharType="begin"/>
      </w:r>
      <w:r>
        <w:instrText xml:space="preserve"> REF  _Ref133509970 \h\#\0   \* MERGEFORMAT </w:instrText>
      </w:r>
      <w:r>
        <w:fldChar w:fldCharType="separate"/>
      </w:r>
      <w:r>
        <w:t>224</w:t>
      </w:r>
      <w:r>
        <w:fldChar w:fldCharType="end"/>
      </w:r>
      <w:r>
        <w:t>);</w:t>
      </w:r>
    </w:p>
    <w:p w14:paraId="73E923F6">
      <w:pPr>
        <w:pStyle w:val="51"/>
      </w:pPr>
      <w:r>
        <w:t>«Аккредитация» — содержит основные сведения о сертификате: вид аккредитации, специальность, стандарт, образовательное учреждение, дата проведения, срок действия (рис. </w:t>
      </w:r>
      <w:r>
        <w:fldChar w:fldCharType="begin"/>
      </w:r>
      <w:r>
        <w:instrText xml:space="preserve"> REF  _Ref133571674 \h\#\0   \* MERGEFORMAT </w:instrText>
      </w:r>
      <w:r>
        <w:fldChar w:fldCharType="separate"/>
      </w:r>
      <w:r>
        <w:t>225</w:t>
      </w:r>
      <w:r>
        <w:fldChar w:fldCharType="end"/>
      </w:r>
      <w:r>
        <w:t>);</w:t>
      </w:r>
    </w:p>
    <w:p w14:paraId="35B7CD6C">
      <w:pPr>
        <w:pStyle w:val="51"/>
      </w:pPr>
      <w:r>
        <w:t xml:space="preserve">«Услуги» — содержит сведения о медицинских услугах, которые может оказывать медицинский работник (рис. </w:t>
      </w:r>
      <w:r>
        <w:fldChar w:fldCharType="begin"/>
      </w:r>
      <w:r>
        <w:instrText xml:space="preserve"> REF  _Ref183092406 \h \t\#\0 \* MERGEFORMAT </w:instrText>
      </w:r>
      <w:r>
        <w:fldChar w:fldCharType="separate"/>
      </w:r>
      <w:r>
        <w:t>226</w:t>
      </w:r>
      <w:r>
        <w:fldChar w:fldCharType="end"/>
      </w:r>
      <w:r>
        <w:t>);</w:t>
      </w:r>
    </w:p>
    <w:p w14:paraId="52158B47">
      <w:pPr>
        <w:pStyle w:val="51"/>
      </w:pPr>
      <w:r>
        <w:t xml:space="preserve">удостоверение эксперта (при наличии) — содержит основные сведения: серия и номер удостоверения, образовательное учреждение, специальность, дата выдачи и дата окончания действия удостоверения (рис. </w:t>
      </w:r>
      <w:r>
        <w:fldChar w:fldCharType="begin"/>
      </w:r>
      <w:r>
        <w:instrText xml:space="preserve"> REF  _Ref148709578 \h\#\0   \* MERGEFORMAT </w:instrText>
      </w:r>
      <w:r>
        <w:fldChar w:fldCharType="separate"/>
      </w:r>
      <w:r>
        <w:t>227</w:t>
      </w:r>
      <w:r>
        <w:fldChar w:fldCharType="end"/>
      </w:r>
      <w:r>
        <w:t>).</w:t>
      </w:r>
    </w:p>
    <w:p w14:paraId="1F8D06D3">
      <w:pPr>
        <w:pStyle w:val="48"/>
      </w:pPr>
      <w:r>
        <w:drawing>
          <wp:inline distT="0" distB="0" distL="0" distR="0">
            <wp:extent cx="2879725" cy="2261235"/>
            <wp:effectExtent l="19050" t="19050" r="15875" b="24765"/>
            <wp:docPr id="17557671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767152" name="Рисунок 1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6141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4B92F0">
      <w:pPr>
        <w:pStyle w:val="49"/>
      </w:pPr>
      <w:bookmarkStart w:id="898" w:name="_Ref13350997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224</w:t>
      </w:r>
      <w:r>
        <w:fldChar w:fldCharType="end"/>
      </w:r>
      <w:bookmarkEnd w:id="898"/>
      <w:r>
        <w:t xml:space="preserve"> — Карточка занятости. Сертификат</w:t>
      </w:r>
    </w:p>
    <w:p w14:paraId="6E50C332">
      <w:pPr>
        <w:pStyle w:val="48"/>
      </w:pPr>
      <w:r>
        <w:drawing>
          <wp:inline distT="0" distB="0" distL="0" distR="0">
            <wp:extent cx="2879725" cy="1992630"/>
            <wp:effectExtent l="19050" t="19050" r="15875" b="26670"/>
            <wp:docPr id="9434766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476671" name="Рисунок 1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930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5D5658">
      <w:pPr>
        <w:pStyle w:val="49"/>
        <w:rPr>
          <w:lang w:val="en-US"/>
        </w:rPr>
      </w:pPr>
      <w:bookmarkStart w:id="899" w:name="_Ref13357167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225</w:t>
      </w:r>
      <w:r>
        <w:fldChar w:fldCharType="end"/>
      </w:r>
      <w:bookmarkEnd w:id="899"/>
      <w:r>
        <w:t xml:space="preserve"> — Карточка занятости. Аккредитация</w:t>
      </w:r>
    </w:p>
    <w:p w14:paraId="6207EA1A">
      <w:pPr>
        <w:pStyle w:val="49"/>
        <w:keepNext/>
      </w:pPr>
      <w:bookmarkStart w:id="900" w:name="_Hlk183029166"/>
      <w:r>
        <w:rPr>
          <w:lang w:val="en-US"/>
        </w:rPr>
        <w:drawing>
          <wp:inline distT="0" distB="0" distL="0" distR="0">
            <wp:extent cx="2879725" cy="1449070"/>
            <wp:effectExtent l="19050" t="19050" r="15875" b="17780"/>
            <wp:docPr id="16206098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609864" name="Рисунок 1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4953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7D7FCF">
      <w:pPr>
        <w:pStyle w:val="49"/>
      </w:pPr>
      <w:bookmarkStart w:id="901" w:name="_Ref1830924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226</w:t>
      </w:r>
      <w:r>
        <w:fldChar w:fldCharType="end"/>
      </w:r>
      <w:bookmarkEnd w:id="901"/>
      <w:r>
        <w:t xml:space="preserve"> — Карточка занятости. Услуги</w:t>
      </w:r>
    </w:p>
    <w:bookmarkEnd w:id="900"/>
    <w:p w14:paraId="36C63587">
      <w:pPr>
        <w:pStyle w:val="48"/>
      </w:pPr>
      <w:r>
        <w:drawing>
          <wp:inline distT="0" distB="0" distL="0" distR="0">
            <wp:extent cx="2879725" cy="1475740"/>
            <wp:effectExtent l="19050" t="19050" r="15875" b="10160"/>
            <wp:docPr id="13726541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654108" name="Рисунок 1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7593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7EF37C3">
      <w:pPr>
        <w:pStyle w:val="49"/>
      </w:pPr>
      <w:bookmarkStart w:id="902" w:name="_Ref1487095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227</w:t>
      </w:r>
      <w:r>
        <w:fldChar w:fldCharType="end"/>
      </w:r>
      <w:bookmarkEnd w:id="902"/>
      <w:r>
        <w:t xml:space="preserve"> — Карточка занятости. Удостоверение эксперта</w:t>
      </w:r>
    </w:p>
    <w:p w14:paraId="117426A1">
      <w:pPr>
        <w:pStyle w:val="38"/>
      </w:pPr>
      <w:bookmarkStart w:id="903" w:name="_Ref195096119"/>
      <w:bookmarkStart w:id="904" w:name="_Toc225871560"/>
      <w:bookmarkStart w:id="905" w:name="_Ref196306287"/>
      <w:r>
        <w:t>Формирование и просмотр отчетов «План-факт» и «Факт за месяц</w:t>
      </w:r>
      <w:bookmarkEnd w:id="903"/>
      <w:r>
        <w:t>»</w:t>
      </w:r>
      <w:bookmarkEnd w:id="904"/>
      <w:bookmarkEnd w:id="905"/>
    </w:p>
    <w:p w14:paraId="1EF2BE1F">
      <w:pPr>
        <w:pStyle w:val="44"/>
      </w:pPr>
      <w:r>
        <w:t>Сведения по фактически оказанным объемам медицинской помощи автоматически формируются при формировании счета на основании зарегистрированных сведений.</w:t>
      </w:r>
    </w:p>
    <w:p w14:paraId="060265D4">
      <w:pPr>
        <w:pStyle w:val="44"/>
      </w:pPr>
      <w:r>
        <w:t>Оператору МО в разделе «Список отчетов» доступны операции по формированию и просмотру следующих отчетов по своей МО:</w:t>
      </w:r>
    </w:p>
    <w:p w14:paraId="5C2B99AC">
      <w:pPr>
        <w:pStyle w:val="51"/>
      </w:pPr>
      <w:r>
        <w:t>Отчет Факт за месяц;</w:t>
      </w:r>
    </w:p>
    <w:p w14:paraId="5AEAB75E">
      <w:pPr>
        <w:pStyle w:val="51"/>
      </w:pPr>
      <w:r>
        <w:t>Отчет План-факт.</w:t>
      </w:r>
    </w:p>
    <w:p w14:paraId="75618BD8">
      <w:pPr>
        <w:pStyle w:val="44"/>
      </w:pPr>
      <w:r>
        <w:t xml:space="preserve">Для перехода в раздел в ленте главного меню раскрыть меню «Все разделы» и выбрать пункт «Список отчетов» (рис. </w:t>
      </w:r>
      <w:r>
        <w:fldChar w:fldCharType="begin"/>
      </w:r>
      <w:r>
        <w:instrText xml:space="preserve"> REF  _Ref195097984 \h\#\0   \* MERGEFORMAT </w:instrText>
      </w:r>
      <w:r>
        <w:fldChar w:fldCharType="separate"/>
      </w:r>
      <w:r>
        <w:t>228</w:t>
      </w:r>
      <w:r>
        <w:fldChar w:fldCharType="end"/>
      </w:r>
      <w:r>
        <w:t>).</w:t>
      </w:r>
    </w:p>
    <w:p w14:paraId="3A3EDF52">
      <w:pPr>
        <w:pStyle w:val="48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inline distT="0" distB="0" distL="0" distR="0">
            <wp:extent cx="5399405" cy="2768600"/>
            <wp:effectExtent l="19050" t="19050" r="10795" b="12700"/>
            <wp:docPr id="20828534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853458" name="Рисунок 1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76920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0A1E64">
      <w:pPr>
        <w:pStyle w:val="49"/>
      </w:pPr>
      <w:bookmarkStart w:id="906" w:name="_Ref19509798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228</w:t>
      </w:r>
      <w:r>
        <w:fldChar w:fldCharType="end"/>
      </w:r>
      <w:bookmarkEnd w:id="906"/>
      <w:r>
        <w:t xml:space="preserve"> — Всплывающее меню «Все разделы». Выбор пункта «Список отчетов»</w:t>
      </w:r>
    </w:p>
    <w:p w14:paraId="23ECED90">
      <w:pPr>
        <w:pStyle w:val="44"/>
      </w:pPr>
      <w:r>
        <w:t xml:space="preserve">В разделе «Список отчетов» в рабочей области отображается пустой список отчетов и панель фильтрации для поиска отчетов (рис. </w:t>
      </w:r>
      <w:r>
        <w:fldChar w:fldCharType="begin"/>
      </w:r>
      <w:r>
        <w:instrText xml:space="preserve"> REF  _Ref195098496 \h\#\0   \* MERGEFORMAT </w:instrText>
      </w:r>
      <w:r>
        <w:fldChar w:fldCharType="separate"/>
      </w:r>
      <w:r>
        <w:t>229</w:t>
      </w:r>
      <w:r>
        <w:fldChar w:fldCharType="end"/>
      </w:r>
      <w:r>
        <w:t>).</w:t>
      </w:r>
    </w:p>
    <w:p w14:paraId="75AA02F8">
      <w:pPr>
        <w:pStyle w:val="48"/>
      </w:pPr>
      <w:r>
        <w:drawing>
          <wp:inline distT="0" distB="0" distL="0" distR="0">
            <wp:extent cx="6106795" cy="3418840"/>
            <wp:effectExtent l="19050" t="19050" r="27305" b="10160"/>
            <wp:docPr id="20615649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56498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34188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DC33DDA">
      <w:pPr>
        <w:pStyle w:val="49"/>
      </w:pPr>
      <w:bookmarkStart w:id="907" w:name="_Ref1950984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229</w:t>
      </w:r>
      <w:r>
        <w:fldChar w:fldCharType="end"/>
      </w:r>
      <w:bookmarkEnd w:id="907"/>
      <w:r>
        <w:t xml:space="preserve"> — Раздел «Список отчетов»</w:t>
      </w:r>
    </w:p>
    <w:p w14:paraId="089915D6">
      <w:pPr>
        <w:pStyle w:val="39"/>
      </w:pPr>
      <w:bookmarkStart w:id="908" w:name="_Ref195097024"/>
      <w:bookmarkStart w:id="909" w:name="_Toc225871561"/>
      <w:r>
        <w:t>Просмотр отчетов</w:t>
      </w:r>
      <w:bookmarkEnd w:id="908"/>
      <w:bookmarkEnd w:id="909"/>
    </w:p>
    <w:p w14:paraId="2F7AE07B">
      <w:pPr>
        <w:pStyle w:val="44"/>
      </w:pPr>
      <w:r>
        <w:t>Просмотреть отчет можно в разделе «Список отчетов» в подразделе «Отчеты».</w:t>
      </w:r>
    </w:p>
    <w:p w14:paraId="690BCEB0">
      <w:pPr>
        <w:pStyle w:val="44"/>
      </w:pPr>
      <w:r>
        <w:t>В блоке «Фильтр» доступен выбор отображения отчетов путем изменения положения переключателей:</w:t>
      </w:r>
    </w:p>
    <w:p w14:paraId="05053578">
      <w:pPr>
        <w:pStyle w:val="51"/>
      </w:pPr>
      <w:r>
        <w:t>«Только мои» — по умолчанию в активном положении;</w:t>
      </w:r>
    </w:p>
    <w:p w14:paraId="33E0F5EA">
      <w:pPr>
        <w:pStyle w:val="51"/>
      </w:pPr>
      <w:r>
        <w:t>«Учитывать удаленные» — по умолчанию не активен.</w:t>
      </w:r>
    </w:p>
    <w:p w14:paraId="5846EA1F">
      <w:pPr>
        <w:pStyle w:val="44"/>
      </w:pPr>
      <w:r>
        <w:t>Поиск отчетов возможен по параметрам:</w:t>
      </w:r>
    </w:p>
    <w:p w14:paraId="3390987B">
      <w:pPr>
        <w:pStyle w:val="51"/>
      </w:pPr>
      <w:r>
        <w:t>«Отчет» — выбор типа отчета. Возможные варианты:</w:t>
      </w:r>
    </w:p>
    <w:p w14:paraId="4D366BC4">
      <w:pPr>
        <w:pStyle w:val="77"/>
      </w:pPr>
      <w:r>
        <w:rPr>
          <w:lang w:val="en-US"/>
        </w:rPr>
        <w:t xml:space="preserve">OPF – </w:t>
      </w:r>
      <w:r>
        <w:t>Отчет План-Факт,</w:t>
      </w:r>
    </w:p>
    <w:p w14:paraId="3BD12A2D">
      <w:pPr>
        <w:pStyle w:val="77"/>
      </w:pPr>
      <w:r>
        <w:rPr>
          <w:lang w:val="en-US"/>
        </w:rPr>
        <w:t>OFPERIOD</w:t>
      </w:r>
      <w:r>
        <w:t xml:space="preserve"> – Отчет Факт за месяц;</w:t>
      </w:r>
    </w:p>
    <w:p w14:paraId="624BD05F">
      <w:pPr>
        <w:pStyle w:val="51"/>
      </w:pPr>
      <w:r>
        <w:t>«Автор» — выбор инициатора формирования отчета;</w:t>
      </w:r>
    </w:p>
    <w:p w14:paraId="1185A60E">
      <w:pPr>
        <w:pStyle w:val="51"/>
      </w:pPr>
      <w:r>
        <w:t>«Статус» — текущее состояние;</w:t>
      </w:r>
    </w:p>
    <w:p w14:paraId="4F401CE2">
      <w:pPr>
        <w:pStyle w:val="51"/>
      </w:pPr>
      <w:r>
        <w:t>«Дата создания с» — выбор даты в формате дд.мм.гггг;</w:t>
      </w:r>
    </w:p>
    <w:p w14:paraId="69A0F3F9">
      <w:pPr>
        <w:pStyle w:val="51"/>
      </w:pPr>
      <w:r>
        <w:t>«Дата создания по» — выбор даты в формате дд.мм.гггг.</w:t>
      </w:r>
    </w:p>
    <w:p w14:paraId="5EBC8A8C">
      <w:pPr>
        <w:pStyle w:val="44"/>
      </w:pPr>
      <w:r>
        <w:t>После нажатия кнопки «Найти» в панели «Фильтр» в рабочей области отобразится список отчетов. В информационной строке в поле «Найдено» отображается количество отчетов, удовлетворяющих заданным параметрам поиска.</w:t>
      </w:r>
    </w:p>
    <w:p w14:paraId="7A6A0A1B">
      <w:pPr>
        <w:pStyle w:val="39"/>
      </w:pPr>
      <w:bookmarkStart w:id="910" w:name="_Ref195097030"/>
      <w:bookmarkStart w:id="911" w:name="_Toc225871562"/>
      <w:r>
        <w:t>Формирование отчетов</w:t>
      </w:r>
      <w:bookmarkEnd w:id="910"/>
      <w:bookmarkEnd w:id="911"/>
    </w:p>
    <w:p w14:paraId="211E7108">
      <w:pPr>
        <w:pStyle w:val="44"/>
      </w:pPr>
      <w:r>
        <w:t xml:space="preserve">Для формирования отчета необходимо нажать кнопку «+ Новый отчет». Отобразится форма «Создание отчета» (рис. </w:t>
      </w:r>
      <w:r>
        <w:fldChar w:fldCharType="begin"/>
      </w:r>
      <w:r>
        <w:instrText xml:space="preserve"> REF  _Ref195100496 \h\#\0   \* MERGEFORMAT </w:instrText>
      </w:r>
      <w:r>
        <w:fldChar w:fldCharType="separate"/>
      </w:r>
      <w:r>
        <w:t>230</w:t>
      </w:r>
      <w:r>
        <w:fldChar w:fldCharType="end"/>
      </w:r>
      <w:r>
        <w:t>).</w:t>
      </w:r>
    </w:p>
    <w:p w14:paraId="3C072924">
      <w:pPr>
        <w:pStyle w:val="48"/>
      </w:pPr>
      <w:r>
        <w:drawing>
          <wp:inline distT="0" distB="0" distL="0" distR="0">
            <wp:extent cx="6115050" cy="2686050"/>
            <wp:effectExtent l="19050" t="19050" r="19050" b="19050"/>
            <wp:docPr id="15346722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672214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6860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C6F7C89">
      <w:pPr>
        <w:pStyle w:val="49"/>
      </w:pPr>
      <w:bookmarkStart w:id="912" w:name="_Ref1951004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230</w:t>
      </w:r>
      <w:r>
        <w:fldChar w:fldCharType="end"/>
      </w:r>
      <w:bookmarkEnd w:id="912"/>
      <w:r>
        <w:t xml:space="preserve"> — Создание отчета</w:t>
      </w:r>
    </w:p>
    <w:p w14:paraId="5CB772F5">
      <w:pPr>
        <w:pStyle w:val="44"/>
      </w:pPr>
      <w:r>
        <w:t>В поле «Тип отчета» указать тип отчета, выбрав значение в выпадающем списке, например, «</w:t>
      </w:r>
      <w:r>
        <w:rPr>
          <w:lang w:val="en-US"/>
        </w:rPr>
        <w:t>OPF</w:t>
      </w:r>
      <w:r>
        <w:t xml:space="preserve"> – Отчет План-Факт» (рис. </w:t>
      </w:r>
      <w:r>
        <w:fldChar w:fldCharType="begin"/>
      </w:r>
      <w:r>
        <w:instrText xml:space="preserve"> REF  _Ref195100709 \h\#\0   \* MERGEFORMAT </w:instrText>
      </w:r>
      <w:r>
        <w:fldChar w:fldCharType="separate"/>
      </w:r>
      <w:r>
        <w:t>231</w:t>
      </w:r>
      <w:r>
        <w:fldChar w:fldCharType="end"/>
      </w:r>
      <w:r>
        <w:t>).</w:t>
      </w:r>
    </w:p>
    <w:p w14:paraId="1657517C">
      <w:pPr>
        <w:pStyle w:val="48"/>
      </w:pPr>
      <w:r>
        <w:drawing>
          <wp:inline distT="0" distB="0" distL="0" distR="0">
            <wp:extent cx="5399405" cy="2910205"/>
            <wp:effectExtent l="19050" t="19050" r="10795" b="23495"/>
            <wp:docPr id="29806297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06297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9102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979348">
      <w:pPr>
        <w:pStyle w:val="49"/>
      </w:pPr>
      <w:bookmarkStart w:id="913" w:name="_Ref1951007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231</w:t>
      </w:r>
      <w:r>
        <w:fldChar w:fldCharType="end"/>
      </w:r>
      <w:bookmarkEnd w:id="913"/>
      <w:r>
        <w:t xml:space="preserve"> — Создание отчета. Выбор параметров</w:t>
      </w:r>
    </w:p>
    <w:p w14:paraId="358187A1">
      <w:pPr>
        <w:pStyle w:val="44"/>
      </w:pPr>
      <w:r>
        <w:t>Указать параметры для формирования отчета, указав значения в обязательных полях:</w:t>
      </w:r>
    </w:p>
    <w:p w14:paraId="5313F0C1">
      <w:pPr>
        <w:pStyle w:val="51"/>
      </w:pPr>
      <w:r>
        <w:t>«Год»;</w:t>
      </w:r>
    </w:p>
    <w:p w14:paraId="22D8D450">
      <w:pPr>
        <w:pStyle w:val="51"/>
      </w:pPr>
      <w:r>
        <w:t>«ОКТМО»</w:t>
      </w:r>
    </w:p>
    <w:p w14:paraId="49EBF846">
      <w:pPr>
        <w:pStyle w:val="44"/>
        <w:ind w:firstLine="0"/>
      </w:pPr>
      <w:r>
        <w:t>и нажать кнопку «Сохранить».</w:t>
      </w:r>
    </w:p>
    <w:p w14:paraId="254C8BD1">
      <w:pPr>
        <w:pStyle w:val="44"/>
      </w:pPr>
      <w:r>
        <w:t>Автоматически запустится процесс формирования нового отчета. По завершении формирования отчета запись о новом отчете отобразится в рабочей области в статусе «Сформирован».</w:t>
      </w:r>
    </w:p>
    <w:bookmarkEnd w:id="777"/>
    <w:bookmarkEnd w:id="778"/>
    <w:bookmarkEnd w:id="779"/>
    <w:bookmarkEnd w:id="780"/>
    <w:bookmarkEnd w:id="781"/>
    <w:bookmarkEnd w:id="799"/>
    <w:p w14:paraId="0FCD3C4F">
      <w:pPr>
        <w:pStyle w:val="37"/>
      </w:pPr>
      <w:bookmarkStart w:id="914" w:name="_Toc465096410"/>
      <w:bookmarkStart w:id="915" w:name="_Toc131174738"/>
      <w:bookmarkStart w:id="916" w:name="_Toc90470928"/>
      <w:bookmarkStart w:id="917" w:name="_Toc150261778"/>
      <w:bookmarkStart w:id="918" w:name="_Toc225871563"/>
      <w:r>
        <w:t>Аварийные ситуации</w:t>
      </w:r>
      <w:bookmarkEnd w:id="914"/>
      <w:bookmarkEnd w:id="915"/>
      <w:bookmarkEnd w:id="916"/>
      <w:bookmarkEnd w:id="917"/>
      <w:bookmarkEnd w:id="918"/>
    </w:p>
    <w:p w14:paraId="4F8F5D25">
      <w:pPr>
        <w:pStyle w:val="38"/>
      </w:pPr>
      <w:bookmarkStart w:id="919" w:name="_Toc149209682"/>
      <w:bookmarkStart w:id="920" w:name="_Toc150261779"/>
      <w:bookmarkStart w:id="921" w:name="_Toc225871564"/>
      <w:r>
        <w:t>Сообщения, выдаваемые подсистемой</w:t>
      </w:r>
      <w:bookmarkEnd w:id="919"/>
      <w:bookmarkEnd w:id="920"/>
      <w:bookmarkEnd w:id="921"/>
    </w:p>
    <w:p w14:paraId="477EF122">
      <w:pPr>
        <w:pStyle w:val="44"/>
      </w:pPr>
      <w:r>
        <w:t>Программное обеспечение ФПУМП обеспечивает корректную обработку аварийных ситуаций, вызванных неверными действиями пользователя, неверным форматом или недопустимыми значениями входных данных. В указанных случаях ФПУМП выдает пользователю соответствующие сообщения. После устранения ошибки ФПУМП возвращается в состояние, предшествовавшее неверной (недопустимой) команде или некорректному вводу данных.</w:t>
      </w:r>
    </w:p>
    <w:p w14:paraId="310DA585">
      <w:pPr>
        <w:pStyle w:val="44"/>
      </w:pPr>
      <w:bookmarkStart w:id="922" w:name="_Hlk164155090"/>
      <w:r>
        <w:t xml:space="preserve">При отображении </w:t>
      </w:r>
      <w:bookmarkEnd w:id="922"/>
      <w:r>
        <w:t xml:space="preserve">на экране предупреждающего сообщения необходимо действовать в соответствии с рекомендациями, приведенными в тексте сообщения (рис. </w:t>
      </w:r>
      <w:r>
        <w:fldChar w:fldCharType="begin"/>
      </w:r>
      <w:r>
        <w:instrText xml:space="preserve"> REF  _Ref164157150 \h\#\0   \* MERGEFORMAT </w:instrText>
      </w:r>
      <w:r>
        <w:fldChar w:fldCharType="separate"/>
      </w:r>
      <w:r>
        <w:t>232</w:t>
      </w:r>
      <w:r>
        <w:fldChar w:fldCharType="end"/>
      </w:r>
      <w:r>
        <w:t>).</w:t>
      </w:r>
    </w:p>
    <w:p w14:paraId="1947459A">
      <w:pPr>
        <w:pStyle w:val="48"/>
      </w:pPr>
      <w:r>
        <w:drawing>
          <wp:inline distT="0" distB="0" distL="0" distR="0">
            <wp:extent cx="2606040" cy="533400"/>
            <wp:effectExtent l="19050" t="19050" r="22860" b="19050"/>
            <wp:docPr id="935057824" name="Рисунок 935057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057824" name="Рисунок 9350578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606266" cy="533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E45D559">
      <w:pPr>
        <w:pStyle w:val="49"/>
      </w:pPr>
      <w:bookmarkStart w:id="923" w:name="_Ref1641571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232</w:t>
      </w:r>
      <w:r>
        <w:fldChar w:fldCharType="end"/>
      </w:r>
      <w:bookmarkEnd w:id="923"/>
      <w:r>
        <w:t xml:space="preserve"> — Предупреждение об обязательности заполнения поля</w:t>
      </w:r>
    </w:p>
    <w:p w14:paraId="74B1E049">
      <w:pPr>
        <w:pStyle w:val="44"/>
      </w:pPr>
      <w:r>
        <w:t xml:space="preserve">В случае отображения предупреждения об ошибке загрузить информацию по нажатию кнопки «Данные для СТП» (рис. </w:t>
      </w:r>
      <w:r>
        <w:fldChar w:fldCharType="begin"/>
      </w:r>
      <w:r>
        <w:instrText xml:space="preserve"> REF  _Ref163055835 \h\#\0   \* MERGEFORMAT </w:instrText>
      </w:r>
      <w:r>
        <w:fldChar w:fldCharType="separate"/>
      </w:r>
      <w:r>
        <w:t>233</w:t>
      </w:r>
      <w:r>
        <w:fldChar w:fldCharType="end"/>
      </w:r>
      <w:r>
        <w:t>) и направить скопированную информацию в службу технической поддержки (СТП)) в установленном порядке (см. раздел </w:t>
      </w:r>
      <w:r>
        <w:fldChar w:fldCharType="begin"/>
      </w:r>
      <w:r>
        <w:instrText xml:space="preserve"> REF _Ref164155516 \n \h  \* MERGEFORMAT </w:instrText>
      </w:r>
      <w:r>
        <w:fldChar w:fldCharType="separate"/>
      </w:r>
      <w:r>
        <w:t>7</w:t>
      </w:r>
      <w:r>
        <w:fldChar w:fldCharType="end"/>
      </w:r>
      <w:r>
        <w:t>).</w:t>
      </w:r>
    </w:p>
    <w:p w14:paraId="38D77111">
      <w:pPr>
        <w:pStyle w:val="48"/>
      </w:pPr>
      <w:r>
        <w:drawing>
          <wp:inline distT="0" distB="0" distL="0" distR="0">
            <wp:extent cx="5940425" cy="1320165"/>
            <wp:effectExtent l="19050" t="19050" r="22225" b="13335"/>
            <wp:docPr id="1166453458" name="Рисунок 1166453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453458" name="Рисунок 1166453458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201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C197C62">
      <w:pPr>
        <w:pStyle w:val="49"/>
      </w:pPr>
      <w:bookmarkStart w:id="924" w:name="_Ref1630558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233</w:t>
      </w:r>
      <w:r>
        <w:fldChar w:fldCharType="end"/>
      </w:r>
      <w:bookmarkEnd w:id="924"/>
      <w:r>
        <w:t xml:space="preserve"> — Предупреждение об ошибке и загрузка данных для СТП</w:t>
      </w:r>
    </w:p>
    <w:p w14:paraId="351D3556">
      <w:pPr>
        <w:pStyle w:val="38"/>
      </w:pPr>
      <w:bookmarkStart w:id="925" w:name="_Toc150261780"/>
      <w:bookmarkStart w:id="926" w:name="_Toc149209683"/>
      <w:bookmarkStart w:id="927" w:name="_Toc225871565"/>
      <w:r>
        <w:t>Отсутствие соединения с ЗСПД</w:t>
      </w:r>
      <w:bookmarkEnd w:id="925"/>
      <w:bookmarkEnd w:id="926"/>
      <w:bookmarkEnd w:id="927"/>
    </w:p>
    <w:p w14:paraId="3C9401C1">
      <w:pPr>
        <w:pStyle w:val="44"/>
      </w:pPr>
      <w:r>
        <w:t xml:space="preserve">АРМ пользователей должны быть подключены к защищенной сети передачи данных ФОМС. При отсутствии соединения с ЗСПД на этапе входа в Подсистему или в процессе работы с Подсистемой выводится сообщение веб-браузера об отсутствии соединения с сетью передачи данных. Пример сообщения представлен на рисунке </w:t>
      </w:r>
      <w:r>
        <w:fldChar w:fldCharType="begin"/>
      </w:r>
      <w:r>
        <w:instrText xml:space="preserve"> REF  _Ref133515358 \h\#0   \* MERGEFORMAT </w:instrText>
      </w:r>
      <w:r>
        <w:fldChar w:fldCharType="separate"/>
      </w:r>
      <w:r>
        <w:t>234</w:t>
      </w:r>
      <w:r>
        <w:fldChar w:fldCharType="end"/>
      </w:r>
      <w:r>
        <w:t>.</w:t>
      </w:r>
    </w:p>
    <w:p w14:paraId="151416F7">
      <w:pPr>
        <w:pStyle w:val="48"/>
      </w:pPr>
      <w:r>
        <w:drawing>
          <wp:inline distT="0" distB="0" distL="0" distR="0">
            <wp:extent cx="2879725" cy="1399540"/>
            <wp:effectExtent l="19050" t="19050" r="15875" b="1016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0009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C1D101">
      <w:pPr>
        <w:pStyle w:val="49"/>
      </w:pPr>
      <w:bookmarkStart w:id="928" w:name="_Ref1335153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234</w:t>
      </w:r>
      <w:r>
        <w:fldChar w:fldCharType="end"/>
      </w:r>
      <w:bookmarkEnd w:id="928"/>
      <w:r>
        <w:t xml:space="preserve"> — Сообщение об отсутствии соединения</w:t>
      </w:r>
    </w:p>
    <w:p w14:paraId="2C7BF3F3">
      <w:pPr>
        <w:pStyle w:val="44"/>
      </w:pPr>
      <w:r>
        <w:t>Данная ошибка не свидетельствует о нарушении работоспособности Подсистемы, но информирует о том, что пользователь не может получить доступ к Подсистеме из-за проблем с сетью передачи данных.</w:t>
      </w:r>
    </w:p>
    <w:p w14:paraId="2A4A69ED">
      <w:pPr>
        <w:pStyle w:val="44"/>
      </w:pPr>
      <w:r>
        <w:t>В этом случае необходимо связаться с администратором Подсистемы по телефону и сообщить о потере соединения с сетью передачи данных.</w:t>
      </w:r>
    </w:p>
    <w:p w14:paraId="03CE68DE">
      <w:pPr>
        <w:pStyle w:val="38"/>
      </w:pPr>
      <w:bookmarkStart w:id="929" w:name="_Toc149209684"/>
      <w:bookmarkStart w:id="930" w:name="_Toc150261781"/>
      <w:bookmarkStart w:id="931" w:name="_Toc225871566"/>
      <w:r>
        <w:t xml:space="preserve">Отказ </w:t>
      </w:r>
      <w:bookmarkEnd w:id="929"/>
      <w:r>
        <w:t xml:space="preserve">при входе в </w:t>
      </w:r>
      <w:r>
        <w:rPr>
          <w:rFonts w:hint="eastAsia"/>
        </w:rPr>
        <w:t>подсистему</w:t>
      </w:r>
      <w:bookmarkEnd w:id="930"/>
      <w:bookmarkEnd w:id="931"/>
    </w:p>
    <w:p w14:paraId="2099AFDE">
      <w:pPr>
        <w:pStyle w:val="44"/>
      </w:pPr>
      <w:r>
        <w:t xml:space="preserve">При получении сообщения об ошибке при входе в Подсистему (см. п. </w:t>
      </w:r>
      <w:r>
        <w:fldChar w:fldCharType="begin"/>
      </w:r>
      <w:r>
        <w:instrText xml:space="preserve"> REF _Ref133516119 \n \h  \* MERGEFORMAT </w:instrText>
      </w:r>
      <w:r>
        <w:fldChar w:fldCharType="separate"/>
      </w:r>
      <w:r>
        <w:t>3.3</w:t>
      </w:r>
      <w:r>
        <w:fldChar w:fldCharType="end"/>
      </w:r>
      <w:r>
        <w:t>) необходимо убедиться, что раскладка клавиатуры переключена на ввод символов латинского алфавита (обозначение «</w:t>
      </w:r>
      <w:r>
        <w:rPr>
          <w:lang w:val="en-US"/>
        </w:rPr>
        <w:t>Eng</w:t>
      </w:r>
      <w:r>
        <w:t xml:space="preserve">» в операционной системе), отключен режим </w:t>
      </w:r>
      <w:r>
        <w:rPr>
          <w:lang w:val="en-US"/>
        </w:rPr>
        <w:t>CapsLock</w:t>
      </w:r>
      <w:r>
        <w:t xml:space="preserve"> клавиатуры и символы логина и пароля вводятся верно.</w:t>
      </w:r>
    </w:p>
    <w:p w14:paraId="42FC995C">
      <w:pPr>
        <w:pStyle w:val="44"/>
      </w:pPr>
      <w:r>
        <w:t>Если сообщение об ошибке повторяется следует обратиться в службу технической поддержки и создать заявку в СУЗ.</w:t>
      </w:r>
    </w:p>
    <w:p w14:paraId="6F9443B9">
      <w:pPr>
        <w:pStyle w:val="38"/>
      </w:pPr>
      <w:bookmarkStart w:id="932" w:name="_Toc150261782"/>
      <w:bookmarkStart w:id="933" w:name="_Toc225871567"/>
      <w:bookmarkStart w:id="934" w:name="_Toc131174743"/>
      <w:bookmarkStart w:id="935" w:name="_Toc149209685"/>
      <w:r>
        <w:t>Прерывание сессии связи</w:t>
      </w:r>
      <w:bookmarkEnd w:id="932"/>
      <w:bookmarkEnd w:id="933"/>
      <w:bookmarkEnd w:id="934"/>
      <w:bookmarkEnd w:id="935"/>
    </w:p>
    <w:p w14:paraId="25F7003A">
      <w:pPr>
        <w:pStyle w:val="44"/>
      </w:pPr>
      <w:r>
        <w:t>В случае прерывания сессии связи при работе с подсистемой произойдет переход на страницу входа в подсистему. Необходимо ввести данные учетной записи (логин и пароль) и продолжить работу.</w:t>
      </w:r>
    </w:p>
    <w:p w14:paraId="0FD079D4">
      <w:pPr>
        <w:pStyle w:val="38"/>
      </w:pPr>
      <w:bookmarkStart w:id="936" w:name="_Toc150247532"/>
      <w:bookmarkEnd w:id="936"/>
      <w:bookmarkStart w:id="937" w:name="_Toc150243704"/>
      <w:bookmarkEnd w:id="937"/>
      <w:bookmarkStart w:id="938" w:name="_Toc150247533"/>
      <w:bookmarkEnd w:id="938"/>
      <w:bookmarkStart w:id="939" w:name="_Toc148701993"/>
      <w:bookmarkEnd w:id="939"/>
      <w:bookmarkStart w:id="940" w:name="_Toc148709943"/>
      <w:bookmarkEnd w:id="940"/>
      <w:bookmarkStart w:id="941" w:name="_Toc148717949"/>
      <w:bookmarkEnd w:id="941"/>
      <w:bookmarkStart w:id="942" w:name="_Toc149054277"/>
      <w:bookmarkEnd w:id="942"/>
      <w:bookmarkStart w:id="943" w:name="_Toc148717950"/>
      <w:bookmarkEnd w:id="943"/>
      <w:bookmarkStart w:id="944" w:name="_Toc150243703"/>
      <w:bookmarkEnd w:id="944"/>
      <w:bookmarkStart w:id="945" w:name="_Toc148958315"/>
      <w:bookmarkEnd w:id="945"/>
      <w:bookmarkStart w:id="946" w:name="_Toc149035405"/>
      <w:bookmarkEnd w:id="946"/>
      <w:bookmarkStart w:id="947" w:name="_Toc149209179"/>
      <w:bookmarkEnd w:id="947"/>
      <w:bookmarkStart w:id="948" w:name="_Toc149209687"/>
      <w:bookmarkEnd w:id="948"/>
      <w:bookmarkStart w:id="949" w:name="_Toc148701994"/>
      <w:bookmarkEnd w:id="949"/>
      <w:bookmarkStart w:id="950" w:name="_Toc148709944"/>
      <w:bookmarkEnd w:id="950"/>
      <w:bookmarkStart w:id="951" w:name="_Toc148717951"/>
      <w:bookmarkEnd w:id="951"/>
      <w:bookmarkStart w:id="952" w:name="_Toc149054285"/>
      <w:bookmarkEnd w:id="952"/>
      <w:bookmarkStart w:id="953" w:name="_Toc148717958"/>
      <w:bookmarkEnd w:id="953"/>
      <w:bookmarkStart w:id="954" w:name="_Toc149209692"/>
      <w:bookmarkEnd w:id="954"/>
      <w:bookmarkStart w:id="955" w:name="_Toc148701997"/>
      <w:bookmarkEnd w:id="955"/>
      <w:bookmarkStart w:id="956" w:name="_Toc149209185"/>
      <w:bookmarkEnd w:id="956"/>
      <w:bookmarkStart w:id="957" w:name="_Toc149209182"/>
      <w:bookmarkEnd w:id="957"/>
      <w:bookmarkStart w:id="958" w:name="_Toc149035408"/>
      <w:bookmarkEnd w:id="958"/>
      <w:bookmarkStart w:id="959" w:name="_Toc149035407"/>
      <w:bookmarkEnd w:id="959"/>
      <w:bookmarkStart w:id="960" w:name="_Toc149054280"/>
      <w:bookmarkEnd w:id="960"/>
      <w:bookmarkStart w:id="961" w:name="_Toc149209690"/>
      <w:bookmarkEnd w:id="961"/>
      <w:bookmarkStart w:id="962" w:name="_Toc148717952"/>
      <w:bookmarkEnd w:id="962"/>
      <w:bookmarkStart w:id="963" w:name="_Toc149209694"/>
      <w:bookmarkEnd w:id="963"/>
      <w:bookmarkStart w:id="964" w:name="_Toc148709951"/>
      <w:bookmarkEnd w:id="964"/>
      <w:bookmarkStart w:id="965" w:name="_Toc148958316"/>
      <w:bookmarkEnd w:id="965"/>
      <w:bookmarkStart w:id="966" w:name="_Toc149054279"/>
      <w:bookmarkEnd w:id="966"/>
      <w:bookmarkStart w:id="967" w:name="_Toc149035406"/>
      <w:bookmarkEnd w:id="967"/>
      <w:bookmarkStart w:id="968" w:name="_Toc148701995"/>
      <w:bookmarkEnd w:id="968"/>
      <w:bookmarkStart w:id="969" w:name="_Toc148701999"/>
      <w:bookmarkEnd w:id="969"/>
      <w:bookmarkStart w:id="970" w:name="_Toc148958321"/>
      <w:bookmarkEnd w:id="970"/>
      <w:bookmarkStart w:id="971" w:name="_Toc149054278"/>
      <w:bookmarkEnd w:id="971"/>
      <w:bookmarkStart w:id="972" w:name="_Toc149209693"/>
      <w:bookmarkEnd w:id="972"/>
      <w:bookmarkStart w:id="973" w:name="_Toc148709949"/>
      <w:bookmarkEnd w:id="973"/>
      <w:bookmarkStart w:id="974" w:name="_Toc148709950"/>
      <w:bookmarkEnd w:id="974"/>
      <w:bookmarkStart w:id="975" w:name="_Toc148958318"/>
      <w:bookmarkEnd w:id="975"/>
      <w:bookmarkStart w:id="976" w:name="_Toc148709948"/>
      <w:bookmarkEnd w:id="976"/>
      <w:bookmarkStart w:id="977" w:name="_Toc149209183"/>
      <w:bookmarkEnd w:id="977"/>
      <w:bookmarkStart w:id="978" w:name="_Toc148717956"/>
      <w:bookmarkEnd w:id="978"/>
      <w:bookmarkStart w:id="979" w:name="_Toc148958319"/>
      <w:bookmarkEnd w:id="979"/>
      <w:bookmarkStart w:id="980" w:name="_Toc149035410"/>
      <w:bookmarkEnd w:id="980"/>
      <w:bookmarkStart w:id="981" w:name="_Toc149209180"/>
      <w:bookmarkEnd w:id="981"/>
      <w:bookmarkStart w:id="982" w:name="_Toc148717953"/>
      <w:bookmarkEnd w:id="982"/>
      <w:bookmarkStart w:id="983" w:name="_Toc148717954"/>
      <w:bookmarkEnd w:id="983"/>
      <w:bookmarkStart w:id="984" w:name="_Toc149035411"/>
      <w:bookmarkEnd w:id="984"/>
      <w:bookmarkStart w:id="985" w:name="_Toc149035409"/>
      <w:bookmarkEnd w:id="985"/>
      <w:bookmarkStart w:id="986" w:name="_Toc149209691"/>
      <w:bookmarkEnd w:id="986"/>
      <w:bookmarkStart w:id="987" w:name="_Toc149209186"/>
      <w:bookmarkEnd w:id="987"/>
      <w:bookmarkStart w:id="988" w:name="_Toc148709947"/>
      <w:bookmarkEnd w:id="988"/>
      <w:bookmarkStart w:id="989" w:name="_Toc148709945"/>
      <w:bookmarkEnd w:id="989"/>
      <w:bookmarkStart w:id="990" w:name="_Toc148958320"/>
      <w:bookmarkEnd w:id="990"/>
      <w:bookmarkStart w:id="991" w:name="_Toc149054283"/>
      <w:bookmarkEnd w:id="991"/>
      <w:bookmarkStart w:id="992" w:name="_Toc148702000"/>
      <w:bookmarkEnd w:id="992"/>
      <w:bookmarkStart w:id="993" w:name="_Toc149209181"/>
      <w:bookmarkEnd w:id="993"/>
      <w:bookmarkStart w:id="994" w:name="_Toc149209688"/>
      <w:bookmarkEnd w:id="994"/>
      <w:bookmarkStart w:id="995" w:name="_Toc148701996"/>
      <w:bookmarkEnd w:id="995"/>
      <w:bookmarkStart w:id="996" w:name="_Toc149035412"/>
      <w:bookmarkEnd w:id="996"/>
      <w:bookmarkStart w:id="997" w:name="_Toc148958323"/>
      <w:bookmarkEnd w:id="997"/>
      <w:bookmarkStart w:id="998" w:name="_Toc149035413"/>
      <w:bookmarkEnd w:id="998"/>
      <w:bookmarkStart w:id="999" w:name="_Toc149209184"/>
      <w:bookmarkEnd w:id="999"/>
      <w:bookmarkStart w:id="1000" w:name="_Toc148958322"/>
      <w:bookmarkEnd w:id="1000"/>
      <w:bookmarkStart w:id="1001" w:name="_Toc149054281"/>
      <w:bookmarkEnd w:id="1001"/>
      <w:bookmarkStart w:id="1002" w:name="_Toc148717955"/>
      <w:bookmarkEnd w:id="1002"/>
      <w:bookmarkStart w:id="1003" w:name="_Toc149209187"/>
      <w:bookmarkEnd w:id="1003"/>
      <w:bookmarkStart w:id="1004" w:name="_Toc149054282"/>
      <w:bookmarkEnd w:id="1004"/>
      <w:bookmarkStart w:id="1005" w:name="_Toc149209689"/>
      <w:bookmarkEnd w:id="1005"/>
      <w:bookmarkStart w:id="1006" w:name="_Toc148958317"/>
      <w:bookmarkEnd w:id="1006"/>
      <w:bookmarkStart w:id="1007" w:name="_Toc148709946"/>
      <w:bookmarkEnd w:id="1007"/>
      <w:bookmarkStart w:id="1008" w:name="_Toc148701998"/>
      <w:bookmarkEnd w:id="1008"/>
      <w:bookmarkStart w:id="1009" w:name="_Toc148702001"/>
      <w:bookmarkEnd w:id="1009"/>
      <w:bookmarkStart w:id="1010" w:name="_Toc148702002"/>
      <w:bookmarkEnd w:id="1010"/>
      <w:bookmarkStart w:id="1011" w:name="_Toc149209695"/>
      <w:bookmarkEnd w:id="1011"/>
      <w:bookmarkStart w:id="1012" w:name="_Toc149054284"/>
      <w:bookmarkEnd w:id="1012"/>
      <w:bookmarkStart w:id="1013" w:name="_Toc148717957"/>
      <w:bookmarkEnd w:id="1013"/>
      <w:bookmarkStart w:id="1014" w:name="_Toc148709952"/>
      <w:bookmarkEnd w:id="1014"/>
      <w:bookmarkStart w:id="1015" w:name="_Toc149054286"/>
      <w:bookmarkEnd w:id="1015"/>
      <w:bookmarkStart w:id="1016" w:name="_Toc149209696"/>
      <w:bookmarkEnd w:id="1016"/>
      <w:bookmarkStart w:id="1017" w:name="_Toc149035414"/>
      <w:bookmarkEnd w:id="1017"/>
      <w:bookmarkStart w:id="1018" w:name="_Toc149209188"/>
      <w:bookmarkEnd w:id="1018"/>
      <w:bookmarkStart w:id="1019" w:name="_Toc148958324"/>
      <w:bookmarkEnd w:id="1019"/>
      <w:bookmarkStart w:id="1020" w:name="_Toc149209697"/>
      <w:bookmarkStart w:id="1021" w:name="_Toc225871568"/>
      <w:bookmarkStart w:id="1022" w:name="_Toc150261783"/>
      <w:r>
        <w:t xml:space="preserve">Отказ АРМ </w:t>
      </w:r>
      <w:r>
        <w:rPr>
          <w:rFonts w:hint="eastAsia"/>
        </w:rPr>
        <w:t>пользователя</w:t>
      </w:r>
      <w:bookmarkEnd w:id="1020"/>
      <w:bookmarkEnd w:id="1021"/>
      <w:bookmarkEnd w:id="1022"/>
    </w:p>
    <w:p w14:paraId="4BDE7BCD">
      <w:pPr>
        <w:pStyle w:val="44"/>
      </w:pPr>
      <w:r>
        <w:t>Об отказе АРМ пользователя свидетельствуют следующие события:</w:t>
      </w:r>
    </w:p>
    <w:p w14:paraId="314053BF">
      <w:pPr>
        <w:pStyle w:val="51"/>
      </w:pPr>
      <w:r>
        <w:t>изображение на мониторе не изменяется и не реагирует на команды клавиатуры и мыши;</w:t>
      </w:r>
    </w:p>
    <w:p w14:paraId="0BD98BEC">
      <w:pPr>
        <w:pStyle w:val="51"/>
      </w:pPr>
      <w:r>
        <w:t>изображение не выводится на экран монитора (черный экран);</w:t>
      </w:r>
    </w:p>
    <w:p w14:paraId="33D9A5CA">
      <w:pPr>
        <w:pStyle w:val="51"/>
      </w:pPr>
      <w:r>
        <w:t xml:space="preserve">на монитор выводится сообщение об ошибке белыми символами на синем фоне или белыми символами на черном фоне (рис. </w:t>
      </w:r>
      <w:r>
        <w:fldChar w:fldCharType="begin"/>
      </w:r>
      <w:r>
        <w:instrText xml:space="preserve"> REF  _Ref133516814 \h\#\0   \* MERGEFORMAT </w:instrText>
      </w:r>
      <w:r>
        <w:fldChar w:fldCharType="separate"/>
      </w:r>
      <w:r>
        <w:t>235</w:t>
      </w:r>
      <w:r>
        <w:fldChar w:fldCharType="end"/>
      </w:r>
      <w:r>
        <w:t>).</w:t>
      </w:r>
    </w:p>
    <w:p w14:paraId="3FBA140B">
      <w:pPr>
        <w:pStyle w:val="48"/>
      </w:pPr>
      <w:r>
        <w:drawing>
          <wp:inline distT="0" distB="0" distL="0" distR="0">
            <wp:extent cx="3599815" cy="2024380"/>
            <wp:effectExtent l="19050" t="19050" r="19685" b="139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2485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09FC5C8">
      <w:pPr>
        <w:pStyle w:val="48"/>
      </w:pPr>
      <w:r>
        <w:drawing>
          <wp:inline distT="0" distB="0" distL="0" distR="0">
            <wp:extent cx="3599815" cy="1473835"/>
            <wp:effectExtent l="19050" t="19050" r="19685" b="120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58" b="3059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7391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73770D">
      <w:pPr>
        <w:pStyle w:val="49"/>
      </w:pPr>
      <w:bookmarkStart w:id="1023" w:name="_Ref1335168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235</w:t>
      </w:r>
      <w:r>
        <w:fldChar w:fldCharType="end"/>
      </w:r>
      <w:bookmarkEnd w:id="1023"/>
      <w:r>
        <w:t xml:space="preserve"> — Примеры сообщений с ошибкой</w:t>
      </w:r>
    </w:p>
    <w:p w14:paraId="24AB0F0E">
      <w:pPr>
        <w:pStyle w:val="44"/>
      </w:pPr>
      <w:r>
        <w:t>При обнаружении указанных событий необходимо проинформировать администратора, ответственного за функционирование АРМ пользователя.</w:t>
      </w:r>
    </w:p>
    <w:p w14:paraId="516D6420">
      <w:pPr>
        <w:pStyle w:val="38"/>
      </w:pPr>
      <w:bookmarkStart w:id="1024" w:name="_Toc149209698"/>
      <w:bookmarkStart w:id="1025" w:name="_Toc225871569"/>
      <w:bookmarkStart w:id="1026" w:name="_Toc150261784"/>
      <w:r>
        <w:t>Сбой функционирования веб-браузера</w:t>
      </w:r>
      <w:bookmarkEnd w:id="1024"/>
      <w:bookmarkEnd w:id="1025"/>
      <w:bookmarkEnd w:id="1026"/>
    </w:p>
    <w:p w14:paraId="6CA709DF">
      <w:pPr>
        <w:pStyle w:val="44"/>
      </w:pPr>
      <w:r>
        <w:t>В случае, если у пользователя есть ожидание, что данные, отображаемые на страницах Подсистемы должны измениться в следствии действий пользователя, но такие изменения не происходят это может свидетельствовать, о том, что веб-браузер сохранил (кэшировал) данные страницы и не обновляет их на странице веб-браузера.</w:t>
      </w:r>
    </w:p>
    <w:p w14:paraId="5F329F94">
      <w:pPr>
        <w:pStyle w:val="44"/>
      </w:pPr>
      <w:r>
        <w:t>В этом случае необходимо очистить кэш браузера в соответствии с инструкцией пользователя для используемого веб-браузера.</w:t>
      </w:r>
    </w:p>
    <w:p w14:paraId="3420DC70">
      <w:pPr>
        <w:pStyle w:val="38"/>
      </w:pPr>
      <w:bookmarkStart w:id="1027" w:name="_Toc225871570"/>
      <w:bookmarkStart w:id="1028" w:name="_Toc149209699"/>
      <w:bookmarkStart w:id="1029" w:name="_Toc150261785"/>
      <w:r>
        <w:t>Потеря данных подсистемы</w:t>
      </w:r>
      <w:bookmarkEnd w:id="1027"/>
      <w:bookmarkEnd w:id="1028"/>
      <w:bookmarkEnd w:id="1029"/>
    </w:p>
    <w:p w14:paraId="6BB58F33">
      <w:pPr>
        <w:pStyle w:val="44"/>
      </w:pPr>
      <w:r>
        <w:t>В случае обнаружения потери данных необходимо незамедлительно проинформировать администратора Подсистемы с указанием детальной информации.</w:t>
      </w:r>
    </w:p>
    <w:p w14:paraId="2F43818D">
      <w:pPr>
        <w:pStyle w:val="44"/>
      </w:pPr>
      <w:r>
        <w:t>При подтверждении факта потери данных в подсистеме со стороны администратора подсистемы или службу технической поддержки, возможно восстановление данных из резервной копии. Для восстановления данных необходимо создать заявку в СУЗ и предоставить информацию, содержащуюся в сообщении об ошибке.</w:t>
      </w:r>
    </w:p>
    <w:p w14:paraId="4BCDD8F6">
      <w:pPr>
        <w:pStyle w:val="38"/>
      </w:pPr>
      <w:bookmarkStart w:id="1030" w:name="_Toc150243708"/>
      <w:bookmarkEnd w:id="1030"/>
      <w:bookmarkStart w:id="1031" w:name="_Toc150247537"/>
      <w:bookmarkEnd w:id="1031"/>
      <w:bookmarkStart w:id="1032" w:name="_Toc150243709"/>
      <w:bookmarkEnd w:id="1032"/>
      <w:bookmarkStart w:id="1033" w:name="_Toc150247538"/>
      <w:bookmarkEnd w:id="1033"/>
      <w:bookmarkStart w:id="1034" w:name="_Toc150243710"/>
      <w:bookmarkEnd w:id="1034"/>
      <w:bookmarkStart w:id="1035" w:name="_Toc150243711"/>
      <w:bookmarkEnd w:id="1035"/>
      <w:bookmarkStart w:id="1036" w:name="_Toc150247540"/>
      <w:bookmarkEnd w:id="1036"/>
      <w:bookmarkStart w:id="1037" w:name="_Toc150243712"/>
      <w:bookmarkEnd w:id="1037"/>
      <w:bookmarkStart w:id="1038" w:name="_Toc150247541"/>
      <w:bookmarkEnd w:id="1038"/>
      <w:bookmarkStart w:id="1039" w:name="_Toc150247539"/>
      <w:bookmarkEnd w:id="1039"/>
      <w:bookmarkStart w:id="1040" w:name="_Toc150243713"/>
      <w:bookmarkEnd w:id="1040"/>
      <w:bookmarkStart w:id="1041" w:name="_Toc150247542"/>
      <w:bookmarkEnd w:id="1041"/>
      <w:bookmarkStart w:id="1042" w:name="_Toc150243714"/>
      <w:bookmarkEnd w:id="1042"/>
      <w:bookmarkStart w:id="1043" w:name="_Toc149209705"/>
      <w:bookmarkEnd w:id="1043"/>
      <w:bookmarkStart w:id="1044" w:name="_Toc148717963"/>
      <w:bookmarkEnd w:id="1044"/>
      <w:bookmarkStart w:id="1045" w:name="_Toc149209703"/>
      <w:bookmarkEnd w:id="1045"/>
      <w:bookmarkStart w:id="1046" w:name="_Toc149035420"/>
      <w:bookmarkEnd w:id="1046"/>
      <w:bookmarkStart w:id="1047" w:name="_Toc148958328"/>
      <w:bookmarkEnd w:id="1047"/>
      <w:bookmarkStart w:id="1048" w:name="_Toc149054297"/>
      <w:bookmarkEnd w:id="1048"/>
      <w:bookmarkStart w:id="1049" w:name="_Toc149209194"/>
      <w:bookmarkEnd w:id="1049"/>
      <w:bookmarkStart w:id="1050" w:name="_Toc148702008"/>
      <w:bookmarkEnd w:id="1050"/>
      <w:bookmarkStart w:id="1051" w:name="_Toc148709961"/>
      <w:bookmarkEnd w:id="1051"/>
      <w:bookmarkStart w:id="1052" w:name="_Toc148709962"/>
      <w:bookmarkEnd w:id="1052"/>
      <w:bookmarkStart w:id="1053" w:name="_Toc148702006"/>
      <w:bookmarkEnd w:id="1053"/>
      <w:bookmarkStart w:id="1054" w:name="_Toc149209706"/>
      <w:bookmarkEnd w:id="1054"/>
      <w:bookmarkStart w:id="1055" w:name="_Toc148717968"/>
      <w:bookmarkEnd w:id="1055"/>
      <w:bookmarkStart w:id="1056" w:name="_Toc148958334"/>
      <w:bookmarkEnd w:id="1056"/>
      <w:bookmarkStart w:id="1057" w:name="_Toc148702010"/>
      <w:bookmarkEnd w:id="1057"/>
      <w:bookmarkStart w:id="1058" w:name="_Toc148717967"/>
      <w:bookmarkEnd w:id="1058"/>
      <w:bookmarkStart w:id="1059" w:name="_Toc148709960"/>
      <w:bookmarkEnd w:id="1059"/>
      <w:bookmarkStart w:id="1060" w:name="_Toc149054295"/>
      <w:bookmarkEnd w:id="1060"/>
      <w:bookmarkStart w:id="1061" w:name="_Toc149035425"/>
      <w:bookmarkEnd w:id="1061"/>
      <w:bookmarkStart w:id="1062" w:name="_Toc149209707"/>
      <w:bookmarkEnd w:id="1062"/>
      <w:bookmarkStart w:id="1063" w:name="_Toc149054291"/>
      <w:bookmarkEnd w:id="1063"/>
      <w:bookmarkStart w:id="1064" w:name="_Toc148709957"/>
      <w:bookmarkEnd w:id="1064"/>
      <w:bookmarkStart w:id="1065" w:name="_Toc149209702"/>
      <w:bookmarkEnd w:id="1065"/>
      <w:bookmarkStart w:id="1066" w:name="_Toc148717965"/>
      <w:bookmarkEnd w:id="1066"/>
      <w:bookmarkStart w:id="1067" w:name="_Toc148717966"/>
      <w:bookmarkEnd w:id="1067"/>
      <w:bookmarkStart w:id="1068" w:name="_Toc148702012"/>
      <w:bookmarkEnd w:id="1068"/>
      <w:bookmarkStart w:id="1069" w:name="_Toc148709963"/>
      <w:bookmarkEnd w:id="1069"/>
      <w:bookmarkStart w:id="1070" w:name="_Toc149035419"/>
      <w:bookmarkEnd w:id="1070"/>
      <w:bookmarkStart w:id="1071" w:name="_Toc149035426"/>
      <w:bookmarkEnd w:id="1071"/>
      <w:bookmarkStart w:id="1072" w:name="_Toc149054292"/>
      <w:bookmarkEnd w:id="1072"/>
      <w:bookmarkStart w:id="1073" w:name="_Toc148958332"/>
      <w:bookmarkEnd w:id="1073"/>
      <w:bookmarkStart w:id="1074" w:name="_Toc148709956"/>
      <w:bookmarkEnd w:id="1074"/>
      <w:bookmarkStart w:id="1075" w:name="_Toc149054298"/>
      <w:bookmarkEnd w:id="1075"/>
      <w:bookmarkStart w:id="1076" w:name="_Toc149209200"/>
      <w:bookmarkEnd w:id="1076"/>
      <w:bookmarkStart w:id="1077" w:name="_Toc149054294"/>
      <w:bookmarkEnd w:id="1077"/>
      <w:bookmarkStart w:id="1078" w:name="_Toc148717964"/>
      <w:bookmarkEnd w:id="1078"/>
      <w:bookmarkStart w:id="1079" w:name="_Toc148958329"/>
      <w:bookmarkEnd w:id="1079"/>
      <w:bookmarkStart w:id="1080" w:name="_Toc148709958"/>
      <w:bookmarkEnd w:id="1080"/>
      <w:bookmarkStart w:id="1081" w:name="_Toc149209193"/>
      <w:bookmarkEnd w:id="1081"/>
      <w:bookmarkStart w:id="1082" w:name="_Toc148717962"/>
      <w:bookmarkEnd w:id="1082"/>
      <w:bookmarkStart w:id="1083" w:name="_Toc148958330"/>
      <w:bookmarkEnd w:id="1083"/>
      <w:bookmarkStart w:id="1084" w:name="_Toc149035421"/>
      <w:bookmarkEnd w:id="1084"/>
      <w:bookmarkStart w:id="1085" w:name="_Toc149054293"/>
      <w:bookmarkEnd w:id="1085"/>
      <w:bookmarkStart w:id="1086" w:name="_Toc148702009"/>
      <w:bookmarkEnd w:id="1086"/>
      <w:bookmarkStart w:id="1087" w:name="_Toc148709959"/>
      <w:bookmarkEnd w:id="1087"/>
      <w:bookmarkStart w:id="1088" w:name="_Toc148958331"/>
      <w:bookmarkEnd w:id="1088"/>
      <w:bookmarkStart w:id="1089" w:name="_Toc149035422"/>
      <w:bookmarkEnd w:id="1089"/>
      <w:bookmarkStart w:id="1090" w:name="_Toc149209196"/>
      <w:bookmarkEnd w:id="1090"/>
      <w:bookmarkStart w:id="1091" w:name="_Toc149035423"/>
      <w:bookmarkEnd w:id="1091"/>
      <w:bookmarkStart w:id="1092" w:name="_Toc149209195"/>
      <w:bookmarkEnd w:id="1092"/>
      <w:bookmarkStart w:id="1093" w:name="_Toc149209197"/>
      <w:bookmarkEnd w:id="1093"/>
      <w:bookmarkStart w:id="1094" w:name="_Toc148958333"/>
      <w:bookmarkEnd w:id="1094"/>
      <w:bookmarkStart w:id="1095" w:name="_Toc149054296"/>
      <w:bookmarkEnd w:id="1095"/>
      <w:bookmarkStart w:id="1096" w:name="_Toc149209199"/>
      <w:bookmarkEnd w:id="1096"/>
      <w:bookmarkStart w:id="1097" w:name="_Toc149035424"/>
      <w:bookmarkEnd w:id="1097"/>
      <w:bookmarkStart w:id="1098" w:name="_Toc150247543"/>
      <w:bookmarkEnd w:id="1098"/>
      <w:bookmarkStart w:id="1099" w:name="_Toc149209701"/>
      <w:bookmarkEnd w:id="1099"/>
      <w:bookmarkStart w:id="1100" w:name="_Toc148702011"/>
      <w:bookmarkEnd w:id="1100"/>
      <w:bookmarkStart w:id="1101" w:name="_Toc149209198"/>
      <w:bookmarkEnd w:id="1101"/>
      <w:bookmarkStart w:id="1102" w:name="_Toc148702013"/>
      <w:bookmarkEnd w:id="1102"/>
      <w:bookmarkStart w:id="1103" w:name="_Toc148958335"/>
      <w:bookmarkEnd w:id="1103"/>
      <w:bookmarkStart w:id="1104" w:name="_Toc148717969"/>
      <w:bookmarkEnd w:id="1104"/>
      <w:bookmarkStart w:id="1105" w:name="_Toc149209704"/>
      <w:bookmarkEnd w:id="1105"/>
      <w:bookmarkStart w:id="1106" w:name="_Toc148702007"/>
      <w:bookmarkEnd w:id="1106"/>
      <w:bookmarkStart w:id="1107" w:name="_Toc149209710"/>
      <w:bookmarkEnd w:id="1107"/>
      <w:bookmarkStart w:id="1108" w:name="_Toc149054299"/>
      <w:bookmarkEnd w:id="1108"/>
      <w:bookmarkStart w:id="1109" w:name="_Toc148958337"/>
      <w:bookmarkEnd w:id="1109"/>
      <w:bookmarkStart w:id="1110" w:name="_Toc148702015"/>
      <w:bookmarkEnd w:id="1110"/>
      <w:bookmarkStart w:id="1111" w:name="_Toc148717970"/>
      <w:bookmarkEnd w:id="1111"/>
      <w:bookmarkStart w:id="1112" w:name="_Toc148717971"/>
      <w:bookmarkEnd w:id="1112"/>
      <w:bookmarkStart w:id="1113" w:name="_Toc149209202"/>
      <w:bookmarkEnd w:id="1113"/>
      <w:bookmarkStart w:id="1114" w:name="_Toc149054300"/>
      <w:bookmarkEnd w:id="1114"/>
      <w:bookmarkStart w:id="1115" w:name="_Toc148709965"/>
      <w:bookmarkEnd w:id="1115"/>
      <w:bookmarkStart w:id="1116" w:name="_Toc148709964"/>
      <w:bookmarkEnd w:id="1116"/>
      <w:bookmarkStart w:id="1117" w:name="_Toc149209709"/>
      <w:bookmarkEnd w:id="1117"/>
      <w:bookmarkStart w:id="1118" w:name="_Toc149035427"/>
      <w:bookmarkEnd w:id="1118"/>
      <w:bookmarkStart w:id="1119" w:name="_Toc149209201"/>
      <w:bookmarkEnd w:id="1119"/>
      <w:bookmarkStart w:id="1120" w:name="_Toc148702014"/>
      <w:bookmarkEnd w:id="1120"/>
      <w:bookmarkStart w:id="1121" w:name="_Toc149035428"/>
      <w:bookmarkEnd w:id="1121"/>
      <w:bookmarkStart w:id="1122" w:name="_Toc149209708"/>
      <w:bookmarkEnd w:id="1122"/>
      <w:bookmarkStart w:id="1123" w:name="_Toc148958336"/>
      <w:bookmarkEnd w:id="1123"/>
      <w:bookmarkStart w:id="1124" w:name="_Toc131174745"/>
      <w:bookmarkStart w:id="1125" w:name="_Toc149209711"/>
      <w:bookmarkStart w:id="1126" w:name="_Toc225871571"/>
      <w:bookmarkStart w:id="1127" w:name="_Toc150261786"/>
      <w:r>
        <w:t>Действия в случаях обнаружения несанкционированного доступа к</w:t>
      </w:r>
      <w:r>
        <w:rPr>
          <w:rFonts w:hint="eastAsia"/>
        </w:rPr>
        <w:t> </w:t>
      </w:r>
      <w:r>
        <w:t>данным</w:t>
      </w:r>
      <w:bookmarkEnd w:id="1124"/>
      <w:bookmarkEnd w:id="1125"/>
      <w:bookmarkEnd w:id="1126"/>
      <w:bookmarkEnd w:id="1127"/>
    </w:p>
    <w:p w14:paraId="33092DEF">
      <w:pPr>
        <w:pStyle w:val="44"/>
      </w:pPr>
      <w:r>
        <w:t>В случае обнаружения несанкционированного доступа к данным, необходимо незамедлительно проинформировать об этом специалистов в области информационной безопасности, сопровождающих работу ГИС ОМС и действовать согласно внутренним регламентам и инструкциям, принятым в ФОМС в части обеспечения информационной безопасности.</w:t>
      </w:r>
    </w:p>
    <w:p w14:paraId="0233F821">
      <w:pPr>
        <w:pStyle w:val="44"/>
      </w:pPr>
      <w:r>
        <w:t>При подозрении в компрометации личного пароля (паролей), некорректном функционировании установленных на сервере или рабочей станции АРМ технических средств защиты, при обнаружении отклонений, затрудняющих работу с ФПУМП, а также о других возможных проблемах безопасности следует своевременно информировать специалистов в области информационной безопасности, сопровождающих работу ГИС ОМС.</w:t>
      </w:r>
    </w:p>
    <w:p w14:paraId="1EC2B659">
      <w:pPr>
        <w:pStyle w:val="38"/>
      </w:pPr>
      <w:bookmarkStart w:id="1128" w:name="_Toc225871572"/>
      <w:bookmarkStart w:id="1129" w:name="_Toc150261787"/>
      <w:bookmarkStart w:id="1130" w:name="_Toc149209712"/>
      <w:r>
        <w:t>Другие аварийные ситуации</w:t>
      </w:r>
      <w:bookmarkEnd w:id="1128"/>
      <w:bookmarkEnd w:id="1129"/>
      <w:bookmarkEnd w:id="1130"/>
    </w:p>
    <w:p w14:paraId="2EDA3C31">
      <w:pPr>
        <w:pStyle w:val="44"/>
      </w:pPr>
      <w:r>
        <w:t>В случае если поведение подсистемы отличается от описанных в настоящем документе, необходимо обратиться к администратору подсистемы или в службу технической поддержки и создать заявку в СУЗ с подробным описанием возникшей ситуации.</w:t>
      </w:r>
    </w:p>
    <w:p w14:paraId="0543F5B4">
      <w:pPr>
        <w:pStyle w:val="37"/>
      </w:pPr>
      <w:bookmarkStart w:id="1131" w:name="_Toc131174747"/>
      <w:bookmarkStart w:id="1132" w:name="_Toc149209713"/>
      <w:bookmarkStart w:id="1133" w:name="_Toc150261788"/>
      <w:bookmarkStart w:id="1134" w:name="_Toc225871573"/>
      <w:r>
        <w:t>Рекомендации по освоению</w:t>
      </w:r>
      <w:bookmarkEnd w:id="1131"/>
      <w:bookmarkEnd w:id="1132"/>
      <w:bookmarkEnd w:id="1133"/>
      <w:bookmarkEnd w:id="1134"/>
    </w:p>
    <w:p w14:paraId="1B359BF6">
      <w:pPr>
        <w:pStyle w:val="44"/>
      </w:pPr>
      <w:r>
        <w:t>Для успешного освоения ФПУМП пользователи должны обладать знаниями и навыками работы с персональным компьютером.</w:t>
      </w:r>
    </w:p>
    <w:p w14:paraId="72ACEE3A">
      <w:pPr>
        <w:pStyle w:val="44"/>
      </w:pPr>
      <w:r>
        <w:t>Перед началом работы с подсистемой необходимо изучить настоящее руководство пользователя и пройти инструктаж по работе с ФПУМП.</w:t>
      </w:r>
    </w:p>
    <w:p w14:paraId="6F3C1A4F">
      <w:pPr>
        <w:pStyle w:val="38"/>
      </w:pPr>
      <w:bookmarkStart w:id="1135" w:name="_Toc150261789"/>
      <w:bookmarkStart w:id="1136" w:name="_Toc149209714"/>
      <w:bookmarkStart w:id="1137" w:name="_Toc225871574"/>
      <w:r>
        <w:t>Контрольный пример</w:t>
      </w:r>
      <w:bookmarkEnd w:id="1135"/>
      <w:bookmarkEnd w:id="1136"/>
      <w:bookmarkEnd w:id="1137"/>
    </w:p>
    <w:p w14:paraId="6FCA309F">
      <w:pPr>
        <w:pStyle w:val="44"/>
      </w:pPr>
      <w:r>
        <w:t>Для выполнения контрольного примера выполните следующие действия:</w:t>
      </w:r>
    </w:p>
    <w:p w14:paraId="3AB84191">
      <w:pPr>
        <w:pStyle w:val="50"/>
        <w:numPr>
          <w:ilvl w:val="0"/>
          <w:numId w:val="22"/>
        </w:numPr>
      </w:pPr>
      <w:r>
        <w:t>запустить веб-браузер,</w:t>
      </w:r>
    </w:p>
    <w:p w14:paraId="49B8309E">
      <w:pPr>
        <w:pStyle w:val="50"/>
      </w:pPr>
      <w:r>
        <w:t>ввести в адресной строке адрес ФПУМП;</w:t>
      </w:r>
    </w:p>
    <w:p w14:paraId="3A2DE82D">
      <w:pPr>
        <w:pStyle w:val="50"/>
      </w:pPr>
      <w:r>
        <w:t xml:space="preserve">в открывшемся окне входа в подсистему ввести данные учетной записи (логин и пароль) и нажать кнопку «Войти» (рис. </w:t>
      </w:r>
      <w:r>
        <w:fldChar w:fldCharType="begin"/>
      </w:r>
      <w:r>
        <w:instrText xml:space="preserve"> REF  _Ref150249195 \h\#\0   \* MERGEFORMAT </w:instrText>
      </w:r>
      <w:r>
        <w:fldChar w:fldCharType="separate"/>
      </w:r>
      <w:r>
        <w:t>236</w:t>
      </w:r>
      <w:r>
        <w:fldChar w:fldCharType="end"/>
      </w:r>
      <w:r>
        <w:t>).</w:t>
      </w:r>
    </w:p>
    <w:p w14:paraId="0E30EAD4">
      <w:pPr>
        <w:pStyle w:val="48"/>
      </w:pPr>
      <w:r>
        <w:drawing>
          <wp:inline distT="0" distB="0" distL="0" distR="0">
            <wp:extent cx="2879725" cy="3639185"/>
            <wp:effectExtent l="19050" t="19050" r="15875" b="18415"/>
            <wp:docPr id="1616312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312419" name="Рисунок 1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63940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5AD90C0">
      <w:pPr>
        <w:pStyle w:val="49"/>
      </w:pPr>
      <w:bookmarkStart w:id="1138" w:name="_Ref1502491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236</w:t>
      </w:r>
      <w:r>
        <w:fldChar w:fldCharType="end"/>
      </w:r>
      <w:bookmarkEnd w:id="1138"/>
      <w:r>
        <w:t xml:space="preserve"> — Окно входа в подсистему</w:t>
      </w:r>
    </w:p>
    <w:p w14:paraId="6E96BF08">
      <w:pPr>
        <w:pStyle w:val="50"/>
        <w:tabs>
          <w:tab w:val="clear" w:pos="0"/>
        </w:tabs>
        <w:ind w:left="1"/>
      </w:pPr>
      <w:r>
        <w:t xml:space="preserve">В представленном на стартовой странице реестре СЭФД (рис. </w:t>
      </w:r>
      <w:r>
        <w:fldChar w:fldCharType="begin"/>
      </w:r>
      <w:r>
        <w:instrText xml:space="preserve"> REF  _Ref133517106 \h\#\0   \* MERGEFORMAT </w:instrText>
      </w:r>
      <w:r>
        <w:fldChar w:fldCharType="separate"/>
      </w:r>
      <w:r>
        <w:t>237</w:t>
      </w:r>
      <w:r>
        <w:fldChar w:fldCharType="end"/>
      </w:r>
      <w:r>
        <w:t>) необходимо дважды нажать на любую строку с данными СЭФД.</w:t>
      </w:r>
    </w:p>
    <w:p w14:paraId="67B58F3D">
      <w:pPr>
        <w:pStyle w:val="48"/>
      </w:pPr>
      <w:r>
        <w:drawing>
          <wp:inline distT="0" distB="0" distL="0" distR="0">
            <wp:extent cx="6119495" cy="3041650"/>
            <wp:effectExtent l="19050" t="19050" r="14605" b="25400"/>
            <wp:docPr id="10557909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90968" name="Рисунок 1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416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A61C6F">
      <w:pPr>
        <w:pStyle w:val="49"/>
      </w:pPr>
      <w:bookmarkStart w:id="1139" w:name="_Ref1335171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237</w:t>
      </w:r>
      <w:r>
        <w:fldChar w:fldCharType="end"/>
      </w:r>
      <w:bookmarkEnd w:id="1139"/>
      <w:r>
        <w:t xml:space="preserve"> — Реестр СЭФД</w:t>
      </w:r>
    </w:p>
    <w:p w14:paraId="1E9D9DE7">
      <w:pPr>
        <w:pStyle w:val="44"/>
      </w:pPr>
      <w:r>
        <w:t>Если список СЭФД пуст, то необходимо выполнить поиск по пациенту в панели фильтрации и поиска информации и нажать кнопку «Найти».</w:t>
      </w:r>
    </w:p>
    <w:p w14:paraId="1FBF56A6">
      <w:pPr>
        <w:pStyle w:val="44"/>
      </w:pPr>
      <w:r>
        <w:t xml:space="preserve">Результатом выполнения контрольного примера является отображение в рабочей области СЭФД СТЦ с детальными данными (рис. </w:t>
      </w:r>
      <w:r>
        <w:fldChar w:fldCharType="begin"/>
      </w:r>
      <w:r>
        <w:instrText xml:space="preserve"> REF  _Ref136359860 \h\#\0  \* MERGEFORMAT </w:instrText>
      </w:r>
      <w:r>
        <w:fldChar w:fldCharType="separate"/>
      </w:r>
      <w:r>
        <w:t>238</w:t>
      </w:r>
      <w:r>
        <w:fldChar w:fldCharType="end"/>
      </w:r>
      <w:r>
        <w:t xml:space="preserve">) и данных ЗЛ, на которое заведен данный документ (рис. </w:t>
      </w:r>
      <w:r>
        <w:fldChar w:fldCharType="begin"/>
      </w:r>
      <w:r>
        <w:instrText xml:space="preserve"> REF  _Ref150270332 \h\#\0   \* MERGEFORMAT </w:instrText>
      </w:r>
      <w:r>
        <w:fldChar w:fldCharType="separate"/>
      </w:r>
      <w:r>
        <w:t>239</w:t>
      </w:r>
      <w:r>
        <w:fldChar w:fldCharType="end"/>
      </w:r>
      <w:r>
        <w:t>).</w:t>
      </w:r>
    </w:p>
    <w:p w14:paraId="4D9176C8">
      <w:pPr>
        <w:pStyle w:val="48"/>
      </w:pPr>
      <w:r>
        <w:drawing>
          <wp:inline distT="0" distB="0" distL="0" distR="0">
            <wp:extent cx="6119495" cy="2967355"/>
            <wp:effectExtent l="19050" t="19050" r="14605" b="23495"/>
            <wp:docPr id="6532015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201592" name="Рисунок 1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673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6968A4">
      <w:pPr>
        <w:pStyle w:val="49"/>
      </w:pPr>
      <w:bookmarkStart w:id="1140" w:name="_Ref1363598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238</w:t>
      </w:r>
      <w:r>
        <w:fldChar w:fldCharType="end"/>
      </w:r>
      <w:bookmarkEnd w:id="1140"/>
      <w:r>
        <w:t xml:space="preserve"> — СЭФД СТЦ</w:t>
      </w:r>
    </w:p>
    <w:p w14:paraId="0BE03D70">
      <w:pPr>
        <w:pStyle w:val="49"/>
        <w:keepNext/>
      </w:pPr>
      <w:r>
        <w:drawing>
          <wp:inline distT="0" distB="0" distL="0" distR="0">
            <wp:extent cx="1875790" cy="4229100"/>
            <wp:effectExtent l="19050" t="19050" r="10160" b="19050"/>
            <wp:docPr id="19387898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789886" name="Рисунок 1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1884644" cy="424777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A1ADB5">
      <w:pPr>
        <w:pStyle w:val="49"/>
      </w:pPr>
      <w:bookmarkStart w:id="1141" w:name="_Ref1502703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239</w:t>
      </w:r>
      <w:r>
        <w:fldChar w:fldCharType="end"/>
      </w:r>
      <w:bookmarkEnd w:id="1141"/>
      <w:r>
        <w:t xml:space="preserve"> — Данные ЗЛ, на которое заведен СЭФД</w:t>
      </w:r>
    </w:p>
    <w:p w14:paraId="3991BF30">
      <w:pPr>
        <w:pStyle w:val="37"/>
      </w:pPr>
      <w:bookmarkStart w:id="1142" w:name="_Ref164155516"/>
      <w:bookmarkStart w:id="1143" w:name="_Toc225871575"/>
      <w:bookmarkStart w:id="1144" w:name="_Toc149209715"/>
      <w:bookmarkStart w:id="1145" w:name="_Toc150261790"/>
      <w:r>
        <w:rPr>
          <w:rFonts w:hint="eastAsia"/>
        </w:rPr>
        <w:t>Порядок</w:t>
      </w:r>
      <w:r>
        <w:t xml:space="preserve"> </w:t>
      </w:r>
      <w:r>
        <w:rPr>
          <w:rFonts w:hint="eastAsia"/>
        </w:rPr>
        <w:t>обращения</w:t>
      </w:r>
      <w:r>
        <w:t xml:space="preserve"> </w:t>
      </w:r>
      <w:r>
        <w:rPr>
          <w:rFonts w:hint="eastAsia"/>
        </w:rPr>
        <w:t>в</w:t>
      </w:r>
      <w:r>
        <w:t xml:space="preserve"> </w:t>
      </w:r>
      <w:r>
        <w:rPr>
          <w:rFonts w:hint="eastAsia"/>
        </w:rPr>
        <w:t>службу</w:t>
      </w:r>
      <w:r>
        <w:t xml:space="preserve"> технической </w:t>
      </w:r>
      <w:r>
        <w:rPr>
          <w:rFonts w:hint="eastAsia"/>
        </w:rPr>
        <w:t>поддержи</w:t>
      </w:r>
      <w:bookmarkEnd w:id="1142"/>
      <w:bookmarkEnd w:id="1143"/>
      <w:bookmarkEnd w:id="1144"/>
      <w:bookmarkEnd w:id="1145"/>
    </w:p>
    <w:p w14:paraId="27606463">
      <w:pPr>
        <w:pStyle w:val="38"/>
      </w:pPr>
      <w:bookmarkStart w:id="1146" w:name="_Toc150261791"/>
      <w:bookmarkStart w:id="1147" w:name="_Toc149209716"/>
      <w:bookmarkStart w:id="1148" w:name="_Toc225871576"/>
      <w:r>
        <w:t xml:space="preserve">Средства обращения в </w:t>
      </w:r>
      <w:bookmarkStart w:id="1149" w:name="_Hlk146547834"/>
      <w:r>
        <w:t>службу технической поддержи</w:t>
      </w:r>
      <w:bookmarkEnd w:id="1146"/>
      <w:bookmarkEnd w:id="1147"/>
      <w:bookmarkEnd w:id="1148"/>
      <w:bookmarkEnd w:id="1149"/>
    </w:p>
    <w:p w14:paraId="37F7FC89">
      <w:pPr>
        <w:pStyle w:val="44"/>
      </w:pPr>
      <w:r>
        <w:t>Обращение в службу технической поддержи осуществляется посредством специализированной системы управления заявками СУЗ. Заявка в СУЗ создается пользователем самостоятельно.</w:t>
      </w:r>
    </w:p>
    <w:p w14:paraId="3F9FF40E">
      <w:pPr>
        <w:pStyle w:val="38"/>
      </w:pPr>
      <w:bookmarkStart w:id="1150" w:name="_Toc149209717"/>
      <w:bookmarkStart w:id="1151" w:name="_Toc225871577"/>
      <w:bookmarkStart w:id="1152" w:name="_Toc150261792"/>
      <w:r>
        <w:t>Направление обращения с использованием СУЗ</w:t>
      </w:r>
      <w:bookmarkEnd w:id="1150"/>
      <w:bookmarkEnd w:id="1151"/>
      <w:bookmarkEnd w:id="1152"/>
    </w:p>
    <w:p w14:paraId="76628038">
      <w:pPr>
        <w:pStyle w:val="39"/>
      </w:pPr>
      <w:bookmarkStart w:id="1153" w:name="_Toc225871578"/>
      <w:bookmarkStart w:id="1154" w:name="_Toc150261793"/>
      <w:bookmarkStart w:id="1155" w:name="_Toc149209718"/>
      <w:r>
        <w:t>Вход в СУЗ</w:t>
      </w:r>
      <w:bookmarkEnd w:id="1153"/>
      <w:bookmarkEnd w:id="1154"/>
      <w:bookmarkEnd w:id="1155"/>
    </w:p>
    <w:p w14:paraId="3BDDDAF5">
      <w:pPr>
        <w:pStyle w:val="44"/>
      </w:pPr>
      <w:r>
        <w:t>Для обращения в службу технической поддержи с использованием СУЗ:</w:t>
      </w:r>
    </w:p>
    <w:p w14:paraId="4925B129">
      <w:pPr>
        <w:pStyle w:val="51"/>
      </w:pPr>
      <w:r>
        <w:t>ввести адрес портала https://stp.gisoms.ffoms.gov.ru/ в поисковую строку браузера и нажать клавишу «Enter».</w:t>
      </w:r>
    </w:p>
    <w:p w14:paraId="460A48A9">
      <w:pPr>
        <w:pStyle w:val="44"/>
      </w:pPr>
      <w:r>
        <w:t>В открывшемся окне авторизации системы СУЗ заполнить поля «Логин» и «Пароль», указав данные учетной записи, и нажать кнопку «Войти».</w:t>
      </w:r>
    </w:p>
    <w:p w14:paraId="13926246">
      <w:pPr>
        <w:pStyle w:val="39"/>
      </w:pPr>
      <w:bookmarkStart w:id="1156" w:name="_Toc150261794"/>
      <w:bookmarkStart w:id="1157" w:name="_Toc149209719"/>
      <w:bookmarkStart w:id="1158" w:name="_Toc225871579"/>
      <w:r>
        <w:t>Создание нового обращения (заявки)</w:t>
      </w:r>
      <w:bookmarkEnd w:id="1156"/>
      <w:bookmarkEnd w:id="1157"/>
      <w:bookmarkEnd w:id="1158"/>
    </w:p>
    <w:p w14:paraId="71D0D9F7">
      <w:pPr>
        <w:pStyle w:val="44"/>
      </w:pPr>
      <w:r>
        <w:t>Для создания нового обращения нажать кнопку «Создать» на главной странице.</w:t>
      </w:r>
    </w:p>
    <w:p w14:paraId="7446BDF5">
      <w:pPr>
        <w:pStyle w:val="44"/>
      </w:pPr>
      <w:r>
        <w:t>В открывшейся форме создания новой заявки необходимо заполнить обязательные поля. В обращении должно содержаться описание только одной проблемы. В случае указания пользователем в обращении более одного вопроса специалисты службы технической поддержи принимают в работу только один вопрос, который определяют после дополнительных консультаций с пользователем.</w:t>
      </w:r>
    </w:p>
    <w:p w14:paraId="58F24921">
      <w:pPr>
        <w:pStyle w:val="44"/>
      </w:pPr>
      <w:r>
        <w:t>Для быстрого и точного решения возникшей проблемы рекомендуется прикладывать иллюстрирующие ее скриншоты (любую другую информацию, которая имеет отношение к описываемой проблеме).</w:t>
      </w:r>
    </w:p>
    <w:p w14:paraId="61EC4AD5">
      <w:pPr>
        <w:pStyle w:val="44"/>
      </w:pPr>
      <w:r>
        <w:t>Для сохранения и отправки заявки нажать кнопку «Создать».</w:t>
      </w:r>
    </w:p>
    <w:p w14:paraId="40FFB109">
      <w:pPr>
        <w:pStyle w:val="44"/>
      </w:pPr>
      <w:r>
        <w:t>При обращении в службу технической поддержки обращаем Ваше внимание на необходимость соблюдения правил работы с информацией, содержащей персональные данные.</w:t>
      </w:r>
      <w:bookmarkStart w:id="1159" w:name="_Toc150261795"/>
      <w:bookmarkStart w:id="1160" w:name="_Toc149209720"/>
    </w:p>
    <w:p w14:paraId="2C377013">
      <w:pPr>
        <w:pStyle w:val="38"/>
      </w:pPr>
      <w:bookmarkStart w:id="1161" w:name="_Toc225871580"/>
      <w:r>
        <w:t>Соблюдение этических норм</w:t>
      </w:r>
      <w:bookmarkEnd w:id="1159"/>
      <w:bookmarkEnd w:id="1160"/>
      <w:bookmarkEnd w:id="1161"/>
    </w:p>
    <w:p w14:paraId="65D35F84">
      <w:pPr>
        <w:pStyle w:val="44"/>
      </w:pPr>
      <w:r>
        <w:t>Общение пользователя и специалиста службы технической поддержи должно быть корректным, соответствующим общепринятым нормам этикета и культуры речи. Не допускаются оскорбления и нецензурные выражения.</w:t>
      </w:r>
    </w:p>
    <w:p w14:paraId="34A190C2">
      <w:pPr>
        <w:pStyle w:val="44"/>
      </w:pPr>
      <w:r>
        <w:t>Специалист службы технической поддержи может прекратить обработку обращения пользователя в случае, если пользователь нарушает нормы деловой этики. Такая заявка закрывается со статусом «Необоснованная» и считается решенной.</w:t>
      </w:r>
    </w:p>
    <w:p w14:paraId="6B6A369A">
      <w:pPr>
        <w:pStyle w:val="90"/>
        <w:numPr>
          <w:ilvl w:val="0"/>
          <w:numId w:val="23"/>
        </w:numPr>
      </w:pPr>
      <w:bookmarkStart w:id="1162" w:name="_Hlk156219233"/>
      <w:r>
        <w:br w:type="textWrapping"/>
      </w:r>
      <w:bookmarkStart w:id="1163" w:name="_Toc225871581"/>
      <w:bookmarkStart w:id="1164" w:name="_Ref154745681"/>
      <w:r>
        <w:t>(справочное)</w:t>
      </w:r>
      <w:r>
        <w:br w:type="textWrapping"/>
      </w:r>
      <w:r>
        <w:t>Статусы СЭФД</w:t>
      </w:r>
      <w:bookmarkEnd w:id="1163"/>
      <w:bookmarkEnd w:id="1164"/>
    </w:p>
    <w:bookmarkEnd w:id="1162"/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851"/>
        <w:gridCol w:w="2997"/>
        <w:gridCol w:w="5845"/>
      </w:tblGrid>
      <w:tr w14:paraId="7D12CB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tblHeader/>
        </w:trPr>
        <w:tc>
          <w:tcPr>
            <w:tcW w:w="439" w:type="pct"/>
            <w:tcBorders>
              <w:bottom w:val="double" w:color="auto" w:sz="4" w:space="0"/>
            </w:tcBorders>
          </w:tcPr>
          <w:p w14:paraId="006B7BCC">
            <w:pPr>
              <w:pStyle w:val="101"/>
            </w:pPr>
            <w:r>
              <w:t>Код статуса</w:t>
            </w:r>
          </w:p>
        </w:tc>
        <w:tc>
          <w:tcPr>
            <w:tcW w:w="1546" w:type="pct"/>
            <w:tcBorders>
              <w:bottom w:val="double" w:color="auto" w:sz="4" w:space="0"/>
            </w:tcBorders>
            <w:vAlign w:val="center"/>
          </w:tcPr>
          <w:p w14:paraId="3678E201">
            <w:pPr>
              <w:pStyle w:val="101"/>
            </w:pPr>
            <w:r>
              <w:t>Значение</w:t>
            </w:r>
          </w:p>
        </w:tc>
        <w:tc>
          <w:tcPr>
            <w:tcW w:w="3015" w:type="pct"/>
            <w:tcBorders>
              <w:bottom w:val="double" w:color="auto" w:sz="4" w:space="0"/>
            </w:tcBorders>
            <w:vAlign w:val="center"/>
          </w:tcPr>
          <w:p w14:paraId="5683103D">
            <w:pPr>
              <w:pStyle w:val="101"/>
            </w:pPr>
            <w:r>
              <w:t>Описание</w:t>
            </w:r>
          </w:p>
        </w:tc>
      </w:tr>
      <w:tr w14:paraId="6CAA3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  <w:tcBorders>
              <w:top w:val="double" w:color="auto" w:sz="4" w:space="0"/>
            </w:tcBorders>
          </w:tcPr>
          <w:p w14:paraId="550B4C75">
            <w:pPr>
              <w:pStyle w:val="89"/>
              <w:rPr>
                <w:lang w:val="en-US"/>
              </w:rPr>
            </w:pPr>
            <w:r>
              <w:rPr>
                <w:lang w:val="en-US"/>
              </w:rPr>
              <w:t>000</w:t>
            </w:r>
          </w:p>
        </w:tc>
        <w:tc>
          <w:tcPr>
            <w:tcW w:w="1546" w:type="pct"/>
            <w:tcBorders>
              <w:top w:val="double" w:color="auto" w:sz="4" w:space="0"/>
            </w:tcBorders>
          </w:tcPr>
          <w:p w14:paraId="2D80FCFF">
            <w:pPr>
              <w:pStyle w:val="88"/>
            </w:pPr>
            <w:r>
              <w:t>Черновик</w:t>
            </w:r>
          </w:p>
        </w:tc>
        <w:tc>
          <w:tcPr>
            <w:tcW w:w="3015" w:type="pct"/>
            <w:tcBorders>
              <w:top w:val="double" w:color="auto" w:sz="4" w:space="0"/>
            </w:tcBorders>
            <w:vAlign w:val="center"/>
          </w:tcPr>
          <w:p w14:paraId="0744DB48">
            <w:pPr>
              <w:pStyle w:val="88"/>
            </w:pPr>
            <w:r>
              <w:t>Начальный статус. СЭФД сохранен с неполными данными.  СЭФД находится в этом статусе, пока:</w:t>
            </w:r>
          </w:p>
          <w:p w14:paraId="25051939">
            <w:pPr>
              <w:pStyle w:val="87"/>
            </w:pPr>
            <w:r>
              <w:t>не внесена фактическая дата окончания оказания МП завершения СЭФД;</w:t>
            </w:r>
          </w:p>
          <w:p w14:paraId="033F9836">
            <w:pPr>
              <w:pStyle w:val="87"/>
            </w:pPr>
            <w:r>
              <w:t>если внесен идентификатор СЭМД, пока поля СЭФД не заполнены данными из СЭМД;</w:t>
            </w:r>
          </w:p>
          <w:p w14:paraId="07914FAC">
            <w:pPr>
              <w:pStyle w:val="87"/>
            </w:pPr>
            <w:r>
              <w:t>не заполнены поля ЛС или МИ после ввода «штрихкода»</w:t>
            </w:r>
          </w:p>
        </w:tc>
      </w:tr>
      <w:tr w14:paraId="68195D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  <w:tcBorders>
              <w:top w:val="single" w:color="auto" w:sz="4" w:space="0"/>
            </w:tcBorders>
          </w:tcPr>
          <w:p w14:paraId="0D1BD10C">
            <w:pPr>
              <w:pStyle w:val="89"/>
              <w:rPr>
                <w:lang w:val="en-US"/>
              </w:rPr>
            </w:pPr>
            <w:r>
              <w:rPr>
                <w:lang w:val="en-US"/>
              </w:rPr>
              <w:t>401</w:t>
            </w:r>
          </w:p>
        </w:tc>
        <w:tc>
          <w:tcPr>
            <w:tcW w:w="1546" w:type="pct"/>
            <w:tcBorders>
              <w:top w:val="single" w:color="auto" w:sz="4" w:space="0"/>
            </w:tcBorders>
          </w:tcPr>
          <w:p w14:paraId="7F2F61AB">
            <w:pPr>
              <w:pStyle w:val="88"/>
            </w:pPr>
            <w:r>
              <w:t>Ошибка СЭМД</w:t>
            </w:r>
          </w:p>
        </w:tc>
        <w:tc>
          <w:tcPr>
            <w:tcW w:w="3015" w:type="pct"/>
            <w:tcBorders>
              <w:top w:val="single" w:color="auto" w:sz="4" w:space="0"/>
            </w:tcBorders>
          </w:tcPr>
          <w:p w14:paraId="57C2D2AF">
            <w:pPr>
              <w:pStyle w:val="88"/>
            </w:pPr>
            <w:r>
              <w:t>Статус СЭФД «401» означает, что передаваемый в СЭФД СЭМД не прошел проверку. Например, передан некорректный СЭМД, который не принимает ФПУМП или возникли проблемы на стороне РЭМД ЕГИСЗ. Требуется корректировка СЭМД в составе СЭФД или устранение ошибок на стороне РЭМД ЕГИСЗ с последующим обновлением СЭФД</w:t>
            </w:r>
          </w:p>
        </w:tc>
      </w:tr>
      <w:tr w14:paraId="33215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  <w:tcBorders>
              <w:top w:val="single" w:color="auto" w:sz="4" w:space="0"/>
            </w:tcBorders>
          </w:tcPr>
          <w:p w14:paraId="40348A6E">
            <w:pPr>
              <w:pStyle w:val="89"/>
              <w:rPr>
                <w:lang w:val="en-US"/>
              </w:rPr>
            </w:pPr>
            <w:r>
              <w:rPr>
                <w:lang w:val="en-US"/>
              </w:rPr>
              <w:t>402</w:t>
            </w:r>
          </w:p>
        </w:tc>
        <w:tc>
          <w:tcPr>
            <w:tcW w:w="1546" w:type="pct"/>
            <w:tcBorders>
              <w:top w:val="single" w:color="auto" w:sz="4" w:space="0"/>
            </w:tcBorders>
          </w:tcPr>
          <w:p w14:paraId="3AAF61C6">
            <w:pPr>
              <w:pStyle w:val="88"/>
            </w:pPr>
            <w:r>
              <w:t>Ошибка сохранения СЭФД</w:t>
            </w:r>
          </w:p>
        </w:tc>
        <w:tc>
          <w:tcPr>
            <w:tcW w:w="3015" w:type="pct"/>
            <w:tcBorders>
              <w:top w:val="single" w:color="auto" w:sz="4" w:space="0"/>
            </w:tcBorders>
          </w:tcPr>
          <w:p w14:paraId="7546AB2A">
            <w:pPr>
              <w:pStyle w:val="88"/>
            </w:pPr>
            <w:r>
              <w:t>Статус СЭФД «402» означает, что переданный СЭФД с СЭМД не прошел ФЛК сохранения СЭФД. Требуется корректировка СЭФД</w:t>
            </w:r>
          </w:p>
        </w:tc>
      </w:tr>
      <w:tr w14:paraId="57311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  <w:tcBorders>
              <w:top w:val="single" w:color="auto" w:sz="4" w:space="0"/>
            </w:tcBorders>
          </w:tcPr>
          <w:p w14:paraId="45D8C6CC">
            <w:pPr>
              <w:pStyle w:val="89"/>
            </w:pPr>
            <w:r>
              <w:t>010</w:t>
            </w:r>
          </w:p>
        </w:tc>
        <w:tc>
          <w:tcPr>
            <w:tcW w:w="1546" w:type="pct"/>
            <w:tcBorders>
              <w:top w:val="single" w:color="auto" w:sz="4" w:space="0"/>
            </w:tcBorders>
          </w:tcPr>
          <w:p w14:paraId="284F5980">
            <w:pPr>
              <w:pStyle w:val="88"/>
            </w:pPr>
            <w:r>
              <w:t>Сохранен</w:t>
            </w:r>
          </w:p>
        </w:tc>
        <w:tc>
          <w:tcPr>
            <w:tcW w:w="3015" w:type="pct"/>
            <w:tcBorders>
              <w:top w:val="single" w:color="auto" w:sz="4" w:space="0"/>
            </w:tcBorders>
            <w:vAlign w:val="center"/>
          </w:tcPr>
          <w:p w14:paraId="072951BB">
            <w:pPr>
              <w:pStyle w:val="88"/>
            </w:pPr>
            <w:r>
              <w:t>СЭФД переходит в этот статус автоматически, если заполнены все обязательные поля при создании и сохранении СЭФД</w:t>
            </w:r>
          </w:p>
        </w:tc>
      </w:tr>
      <w:tr w14:paraId="38F362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6FBBF162">
            <w:pPr>
              <w:pStyle w:val="89"/>
            </w:pPr>
            <w:r>
              <w:t>100</w:t>
            </w:r>
          </w:p>
        </w:tc>
        <w:tc>
          <w:tcPr>
            <w:tcW w:w="1546" w:type="pct"/>
          </w:tcPr>
          <w:p w14:paraId="18283457">
            <w:pPr>
              <w:pStyle w:val="88"/>
            </w:pPr>
            <w:r>
              <w:t>Распределен в черновик счета</w:t>
            </w:r>
          </w:p>
        </w:tc>
        <w:tc>
          <w:tcPr>
            <w:tcW w:w="3015" w:type="pct"/>
          </w:tcPr>
          <w:p w14:paraId="596CAB45">
            <w:pPr>
              <w:pStyle w:val="88"/>
            </w:pPr>
            <w:r>
              <w:t>Определен плательщик, СЭФД определен в черновик счета конкретного плательщика, выполнен расчет стоимости</w:t>
            </w:r>
          </w:p>
        </w:tc>
      </w:tr>
      <w:tr w14:paraId="6F1629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32E95253">
            <w:pPr>
              <w:pStyle w:val="89"/>
            </w:pPr>
            <w:r>
              <w:t>200</w:t>
            </w:r>
          </w:p>
        </w:tc>
        <w:tc>
          <w:tcPr>
            <w:tcW w:w="1546" w:type="pct"/>
          </w:tcPr>
          <w:p w14:paraId="3C080E72">
            <w:pPr>
              <w:pStyle w:val="88"/>
            </w:pPr>
            <w:r>
              <w:t>Распределен в черновики нескольких счетов</w:t>
            </w:r>
          </w:p>
        </w:tc>
        <w:tc>
          <w:tcPr>
            <w:tcW w:w="3015" w:type="pct"/>
          </w:tcPr>
          <w:p w14:paraId="1C1F1285">
            <w:pPr>
              <w:pStyle w:val="88"/>
            </w:pPr>
            <w:r>
              <w:t>Определены плательщики, СЭФД определен в черновики счетов для конкретных плательщиков, выполнен расчет стоимости</w:t>
            </w:r>
          </w:p>
        </w:tc>
      </w:tr>
      <w:tr w14:paraId="429D2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76641EFC">
            <w:pPr>
              <w:pStyle w:val="89"/>
            </w:pPr>
            <w:r>
              <w:t>110</w:t>
            </w:r>
          </w:p>
        </w:tc>
        <w:tc>
          <w:tcPr>
            <w:tcW w:w="1546" w:type="pct"/>
          </w:tcPr>
          <w:p w14:paraId="7A05AD7E">
            <w:pPr>
              <w:pStyle w:val="88"/>
            </w:pPr>
            <w:r>
              <w:t>Включен в один счет</w:t>
            </w:r>
          </w:p>
        </w:tc>
        <w:tc>
          <w:tcPr>
            <w:tcW w:w="3015" w:type="pct"/>
          </w:tcPr>
          <w:p w14:paraId="46DDB608">
            <w:pPr>
              <w:pStyle w:val="88"/>
            </w:pPr>
            <w:r>
              <w:t>Благополучный исход в рамках процесса формирования счетов для случая, когда СЭФД оплачивается одним счетом</w:t>
            </w:r>
          </w:p>
        </w:tc>
      </w:tr>
      <w:tr w14:paraId="73D5D5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3A557339">
            <w:pPr>
              <w:pStyle w:val="89"/>
            </w:pPr>
            <w:r>
              <w:t>210</w:t>
            </w:r>
          </w:p>
        </w:tc>
        <w:tc>
          <w:tcPr>
            <w:tcW w:w="1546" w:type="pct"/>
          </w:tcPr>
          <w:p w14:paraId="7B321763">
            <w:pPr>
              <w:pStyle w:val="88"/>
            </w:pPr>
            <w:r>
              <w:t>Включен в несколько счетов</w:t>
            </w:r>
          </w:p>
        </w:tc>
        <w:tc>
          <w:tcPr>
            <w:tcW w:w="3015" w:type="pct"/>
          </w:tcPr>
          <w:p w14:paraId="4BB82E52">
            <w:pPr>
              <w:pStyle w:val="88"/>
            </w:pPr>
            <w:r>
              <w:t>Благополучный исход в рамках процесса формирования счетов для случая, когда СЭФД оплачивается несколькими счетами. В этот момент на СЭФД устанавливается блокировка создания новой версии, пока все счета, созданные на основе данного СЭФД, не будут обработаны</w:t>
            </w:r>
          </w:p>
        </w:tc>
      </w:tr>
      <w:tr w14:paraId="1B9A0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  <w:tcBorders>
              <w:top w:val="single" w:color="auto" w:sz="4" w:space="0"/>
            </w:tcBorders>
          </w:tcPr>
          <w:p w14:paraId="70D5F841">
            <w:pPr>
              <w:pStyle w:val="89"/>
            </w:pPr>
            <w:r>
              <w:t>500</w:t>
            </w:r>
          </w:p>
        </w:tc>
        <w:tc>
          <w:tcPr>
            <w:tcW w:w="1546" w:type="pct"/>
            <w:tcBorders>
              <w:top w:val="single" w:color="auto" w:sz="4" w:space="0"/>
            </w:tcBorders>
          </w:tcPr>
          <w:p w14:paraId="5BA1DB82">
            <w:pPr>
              <w:pStyle w:val="88"/>
            </w:pPr>
            <w:r>
              <w:t>Помещён в «Ошибки счета»</w:t>
            </w:r>
          </w:p>
        </w:tc>
        <w:tc>
          <w:tcPr>
            <w:tcW w:w="3015" w:type="pct"/>
            <w:tcBorders>
              <w:top w:val="single" w:color="auto" w:sz="4" w:space="0"/>
            </w:tcBorders>
            <w:vAlign w:val="center"/>
          </w:tcPr>
          <w:p w14:paraId="6B6EFAD7">
            <w:pPr>
              <w:pStyle w:val="88"/>
            </w:pPr>
            <w:r>
              <w:t>Не удалось определить плательщика, стоимость или другие критические параметры счета. Сработали ФЛК создания счета</w:t>
            </w:r>
          </w:p>
        </w:tc>
      </w:tr>
      <w:tr w14:paraId="47A34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233C091C">
            <w:pPr>
              <w:pStyle w:val="89"/>
            </w:pPr>
            <w:r>
              <w:t>120</w:t>
            </w:r>
          </w:p>
        </w:tc>
        <w:tc>
          <w:tcPr>
            <w:tcW w:w="1546" w:type="pct"/>
          </w:tcPr>
          <w:p w14:paraId="51364027">
            <w:pPr>
              <w:pStyle w:val="88"/>
            </w:pPr>
            <w:r>
              <w:t>Получен ответ плательщика на один счет</w:t>
            </w:r>
          </w:p>
        </w:tc>
        <w:tc>
          <w:tcPr>
            <w:tcW w:w="3015" w:type="pct"/>
          </w:tcPr>
          <w:p w14:paraId="2947EEDD">
            <w:pPr>
              <w:pStyle w:val="88"/>
            </w:pPr>
            <w:r>
              <w:t>Благополучный исход в рамках процесса ответа плательщика для случая, когда СЭФД оплачивается одним счетом</w:t>
            </w:r>
          </w:p>
        </w:tc>
      </w:tr>
      <w:tr w14:paraId="76A904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439" w:type="pct"/>
          </w:tcPr>
          <w:p w14:paraId="636260EA">
            <w:pPr>
              <w:pStyle w:val="89"/>
            </w:pPr>
            <w:r>
              <w:t>220</w:t>
            </w:r>
          </w:p>
        </w:tc>
        <w:tc>
          <w:tcPr>
            <w:tcW w:w="1546" w:type="pct"/>
          </w:tcPr>
          <w:p w14:paraId="502CEDFD">
            <w:pPr>
              <w:pStyle w:val="88"/>
            </w:pPr>
            <w:r>
              <w:t>Получен ответ плательщика на несколько счетов</w:t>
            </w:r>
          </w:p>
        </w:tc>
        <w:tc>
          <w:tcPr>
            <w:tcW w:w="3015" w:type="pct"/>
          </w:tcPr>
          <w:p w14:paraId="66B2DBD9">
            <w:pPr>
              <w:pStyle w:val="88"/>
            </w:pPr>
            <w:r>
              <w:t>Конечный статус. Благополучный исход в рамках процесса ответа плательщика для случая, когда СЭФД оплачивается несколькими счетами</w:t>
            </w:r>
          </w:p>
        </w:tc>
      </w:tr>
    </w:tbl>
    <w:p w14:paraId="0ADEB701">
      <w:pPr>
        <w:pStyle w:val="44"/>
      </w:pPr>
    </w:p>
    <w:p w14:paraId="1BDFD33A">
      <w:pPr>
        <w:pStyle w:val="90"/>
        <w:numPr>
          <w:ilvl w:val="0"/>
          <w:numId w:val="23"/>
        </w:numPr>
      </w:pPr>
      <w:r>
        <w:br w:type="textWrapping"/>
      </w:r>
      <w:bookmarkStart w:id="1165" w:name="_Ref225439903"/>
      <w:bookmarkStart w:id="1166" w:name="_Toc225871582"/>
      <w:r>
        <w:t>(справочное)</w:t>
      </w:r>
      <w:r>
        <w:br w:type="textWrapping"/>
      </w:r>
      <w:r>
        <w:t>Типы счетов</w:t>
      </w:r>
      <w:bookmarkEnd w:id="1165"/>
      <w:bookmarkEnd w:id="1166"/>
    </w:p>
    <w:tbl>
      <w:tblPr>
        <w:tblStyle w:val="1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708"/>
        <w:gridCol w:w="7985"/>
      </w:tblGrid>
      <w:tr w14:paraId="63D717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tblHeader/>
          <w:jc w:val="center"/>
        </w:trPr>
        <w:tc>
          <w:tcPr>
            <w:tcW w:w="881" w:type="pct"/>
            <w:tcBorders>
              <w:bottom w:val="double" w:color="auto" w:sz="4" w:space="0"/>
            </w:tcBorders>
            <w:vAlign w:val="center"/>
          </w:tcPr>
          <w:p w14:paraId="74B71848">
            <w:pPr>
              <w:pStyle w:val="101"/>
            </w:pPr>
            <w:r>
              <w:t>Код</w:t>
            </w:r>
          </w:p>
        </w:tc>
        <w:tc>
          <w:tcPr>
            <w:tcW w:w="4119" w:type="pct"/>
            <w:tcBorders>
              <w:bottom w:val="double" w:color="auto" w:sz="4" w:space="0"/>
            </w:tcBorders>
            <w:vAlign w:val="center"/>
          </w:tcPr>
          <w:p w14:paraId="2F2B758C">
            <w:pPr>
              <w:pStyle w:val="101"/>
            </w:pPr>
            <w:r>
              <w:t>Значение</w:t>
            </w:r>
          </w:p>
        </w:tc>
      </w:tr>
      <w:tr w14:paraId="72E8E6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double" w:color="auto" w:sz="4" w:space="0"/>
              <w:bottom w:val="single" w:color="auto" w:sz="4" w:space="0"/>
            </w:tcBorders>
            <w:vAlign w:val="center"/>
          </w:tcPr>
          <w:p w14:paraId="4DB914B9">
            <w:pPr>
              <w:pStyle w:val="101"/>
            </w:pPr>
            <w:r>
              <w:rPr>
                <w:lang w:val="en-US"/>
              </w:rPr>
              <w:t>0</w:t>
            </w:r>
            <w:r>
              <w:t>1</w:t>
            </w:r>
          </w:p>
        </w:tc>
        <w:tc>
          <w:tcPr>
            <w:tcW w:w="4119" w:type="pct"/>
            <w:tcBorders>
              <w:top w:val="double" w:color="auto" w:sz="4" w:space="0"/>
              <w:bottom w:val="single" w:color="auto" w:sz="4" w:space="0"/>
            </w:tcBorders>
            <w:vAlign w:val="center"/>
          </w:tcPr>
          <w:p w14:paraId="505CE3B5">
            <w:pPr>
              <w:pStyle w:val="101"/>
              <w:jc w:val="left"/>
            </w:pPr>
            <w:r>
              <w:t>Базовая программа</w:t>
            </w:r>
          </w:p>
        </w:tc>
      </w:tr>
      <w:tr w14:paraId="3801BC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4806C25">
            <w:pPr>
              <w:pStyle w:val="101"/>
            </w:pPr>
            <w:r>
              <w:t>02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DC19F1B">
            <w:pPr>
              <w:pStyle w:val="101"/>
              <w:jc w:val="left"/>
            </w:pPr>
            <w:r>
              <w:t>Счет по иногородним пациентам</w:t>
            </w:r>
          </w:p>
        </w:tc>
      </w:tr>
      <w:tr w14:paraId="4A542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8FCD7DF">
            <w:pPr>
              <w:pStyle w:val="101"/>
            </w:pPr>
            <w:r>
              <w:t>03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6F2592E">
            <w:pPr>
              <w:pStyle w:val="101"/>
              <w:jc w:val="left"/>
            </w:pPr>
            <w:r>
              <w:t>Счет по территориальной базовой программе</w:t>
            </w:r>
          </w:p>
        </w:tc>
      </w:tr>
      <w:tr w14:paraId="2ADC9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3E6E3DE">
            <w:pPr>
              <w:pStyle w:val="101"/>
            </w:pPr>
            <w:r>
              <w:t>04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BC0B494">
            <w:pPr>
              <w:pStyle w:val="101"/>
              <w:jc w:val="left"/>
            </w:pPr>
            <w:r>
              <w:t>Счет по повторной идентификации (иногородние)</w:t>
            </w:r>
          </w:p>
        </w:tc>
      </w:tr>
      <w:tr w14:paraId="7A469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CFF0888">
            <w:pPr>
              <w:pStyle w:val="101"/>
            </w:pPr>
            <w:r>
              <w:t>05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EF724AB">
            <w:pPr>
              <w:pStyle w:val="101"/>
              <w:jc w:val="left"/>
            </w:pPr>
            <w:r>
              <w:t>Счет по повторной идентификации (застрахованные)</w:t>
            </w:r>
          </w:p>
        </w:tc>
      </w:tr>
      <w:tr w14:paraId="40E31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7CC1ABD">
            <w:pPr>
              <w:pStyle w:val="101"/>
            </w:pPr>
            <w:r>
              <w:t>06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C2ACC0E">
            <w:pPr>
              <w:pStyle w:val="101"/>
              <w:jc w:val="left"/>
            </w:pPr>
            <w:r>
              <w:t>Счет по неидентифицированным</w:t>
            </w:r>
          </w:p>
        </w:tc>
      </w:tr>
      <w:tr w14:paraId="3EFB6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3DBF46B">
            <w:pPr>
              <w:pStyle w:val="101"/>
            </w:pPr>
            <w:r>
              <w:t>07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83C5E52">
            <w:pPr>
              <w:pStyle w:val="101"/>
              <w:jc w:val="left"/>
            </w:pPr>
            <w:r>
              <w:t>Счет по авиамедицине</w:t>
            </w:r>
          </w:p>
        </w:tc>
      </w:tr>
      <w:tr w14:paraId="44C93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10A614E">
            <w:pPr>
              <w:pStyle w:val="101"/>
            </w:pPr>
            <w:r>
              <w:t>08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643DEDB">
            <w:pPr>
              <w:pStyle w:val="101"/>
              <w:jc w:val="left"/>
            </w:pPr>
            <w:r>
              <w:t>Счет по психиатрической медицине</w:t>
            </w:r>
          </w:p>
        </w:tc>
      </w:tr>
      <w:tr w14:paraId="4DD471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0319D703">
            <w:pPr>
              <w:pStyle w:val="101"/>
            </w:pPr>
            <w:r>
              <w:t>09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15A3CA0">
            <w:pPr>
              <w:pStyle w:val="101"/>
              <w:jc w:val="left"/>
            </w:pPr>
            <w:r>
              <w:t>Счет по сверхбазовой программе КСГ</w:t>
            </w:r>
          </w:p>
        </w:tc>
      </w:tr>
      <w:tr w14:paraId="06106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B1F79D1">
            <w:pPr>
              <w:pStyle w:val="101"/>
            </w:pPr>
            <w:r>
              <w:t>10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1911647">
            <w:pPr>
              <w:pStyle w:val="101"/>
              <w:jc w:val="left"/>
            </w:pPr>
            <w:r>
              <w:t>Счет по сверхбазовой программе АМБ</w:t>
            </w:r>
          </w:p>
        </w:tc>
      </w:tr>
      <w:tr w14:paraId="20888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</w:tcBorders>
            <w:vAlign w:val="center"/>
          </w:tcPr>
          <w:p w14:paraId="0649430D">
            <w:pPr>
              <w:pStyle w:val="101"/>
              <w:rPr>
                <w:lang w:val="en-US"/>
              </w:rPr>
            </w:pPr>
            <w:r>
              <w:rPr>
                <w:lang w:val="en-US"/>
              </w:rPr>
              <w:t>NOVALUE</w:t>
            </w:r>
          </w:p>
        </w:tc>
        <w:tc>
          <w:tcPr>
            <w:tcW w:w="4119" w:type="pct"/>
            <w:tcBorders>
              <w:top w:val="single" w:color="auto" w:sz="4" w:space="0"/>
            </w:tcBorders>
            <w:vAlign w:val="center"/>
          </w:tcPr>
          <w:p w14:paraId="439E073D">
            <w:pPr>
              <w:pStyle w:val="101"/>
              <w:jc w:val="left"/>
            </w:pPr>
            <w:r>
              <w:t>Потенциальный счет (счет МО с «ТПГГ и ПГГ», по которой нельзя подавать счета)</w:t>
            </w:r>
          </w:p>
        </w:tc>
      </w:tr>
    </w:tbl>
    <w:p w14:paraId="5164B625">
      <w:pPr>
        <w:pStyle w:val="44"/>
      </w:pPr>
    </w:p>
    <w:p w14:paraId="006B13DC">
      <w:pPr>
        <w:pStyle w:val="98"/>
        <w:numPr>
          <w:ilvl w:val="0"/>
          <w:numId w:val="23"/>
        </w:numPr>
      </w:pPr>
      <w:r>
        <w:br w:type="textWrapping"/>
      </w:r>
      <w:bookmarkStart w:id="1167" w:name="_Toc185352734"/>
      <w:bookmarkStart w:id="1168" w:name="_Toc225871583"/>
      <w:bookmarkStart w:id="1169" w:name="_Ref184982730"/>
      <w:r>
        <w:t>(справочное)</w:t>
      </w:r>
      <w:r>
        <w:br w:type="textWrapping"/>
      </w:r>
      <w:r>
        <w:t xml:space="preserve">Просмотр файлов формата </w:t>
      </w:r>
      <w:r>
        <w:rPr>
          <w:lang w:val="en-US"/>
        </w:rPr>
        <w:t>XML</w:t>
      </w:r>
      <w:r>
        <w:t xml:space="preserve"> и </w:t>
      </w:r>
      <w:r>
        <w:rPr>
          <w:lang w:val="en-US"/>
        </w:rPr>
        <w:t>CSV</w:t>
      </w:r>
      <w:bookmarkEnd w:id="1167"/>
      <w:bookmarkEnd w:id="1168"/>
      <w:bookmarkEnd w:id="1169"/>
    </w:p>
    <w:p w14:paraId="26E595B2">
      <w:pPr>
        <w:pStyle w:val="100"/>
        <w:numPr>
          <w:ilvl w:val="1"/>
          <w:numId w:val="23"/>
        </w:numPr>
      </w:pPr>
      <w:bookmarkStart w:id="1170" w:name="_Toc225871584"/>
      <w:bookmarkStart w:id="1171" w:name="_Toc185352735"/>
      <w:r>
        <w:t xml:space="preserve">Просмотр файлов формата </w:t>
      </w:r>
      <w:r>
        <w:rPr>
          <w:lang w:val="en-US"/>
        </w:rPr>
        <w:t>XML</w:t>
      </w:r>
      <w:bookmarkEnd w:id="1170"/>
      <w:bookmarkEnd w:id="1171"/>
    </w:p>
    <w:p w14:paraId="50AC9F09">
      <w:pPr>
        <w:pStyle w:val="44"/>
      </w:pPr>
      <w:r>
        <w:t xml:space="preserve">Просмотреть файлы формата </w:t>
      </w:r>
      <w:r>
        <w:rPr>
          <w:lang w:val="en-US"/>
        </w:rPr>
        <w:t>XML</w:t>
      </w:r>
      <w:r>
        <w:t xml:space="preserve"> (имя_файла.</w:t>
      </w:r>
      <w:r>
        <w:rPr>
          <w:lang w:val="en-US"/>
        </w:rPr>
        <w:t>xml</w:t>
      </w:r>
      <w:r>
        <w:t>) можно с использованием веб-браузера, установленного на АРМ пользователя.</w:t>
      </w:r>
    </w:p>
    <w:p w14:paraId="095E0BA7">
      <w:pPr>
        <w:pStyle w:val="44"/>
      </w:pPr>
      <w:r>
        <w:t xml:space="preserve">Для открытия файла формата </w:t>
      </w:r>
      <w:r>
        <w:rPr>
          <w:lang w:val="en-US"/>
        </w:rPr>
        <w:t>XML</w:t>
      </w:r>
      <w:r>
        <w:t xml:space="preserve"> необходимо зажать клавишу </w:t>
      </w:r>
      <w:r>
        <w:rPr>
          <w:lang w:val="en-US"/>
        </w:rPr>
        <w:t>Shift</w:t>
      </w:r>
      <w:r>
        <w:t>, нажать на значок файла правой кнопкой мыши, в открывшемся меню в пункте «Открыть с помощью» выбрать доступный веб-браузер.</w:t>
      </w:r>
    </w:p>
    <w:p w14:paraId="77F1CCB2">
      <w:pPr>
        <w:pStyle w:val="44"/>
      </w:pPr>
      <w:r>
        <w:t xml:space="preserve">На экране отобразится окно просмотра файла формата </w:t>
      </w:r>
      <w:r>
        <w:rPr>
          <w:lang w:val="en-US"/>
        </w:rPr>
        <w:t>XML</w:t>
      </w:r>
      <w:r>
        <w:t>.</w:t>
      </w:r>
    </w:p>
    <w:p w14:paraId="1246D05D">
      <w:pPr>
        <w:pStyle w:val="100"/>
        <w:numPr>
          <w:ilvl w:val="1"/>
          <w:numId w:val="23"/>
        </w:numPr>
      </w:pPr>
      <w:bookmarkStart w:id="1172" w:name="_Toc185352736"/>
      <w:bookmarkStart w:id="1173" w:name="_Toc225871585"/>
      <w:r>
        <w:t xml:space="preserve">Просмотр файлов формата </w:t>
      </w:r>
      <w:r>
        <w:rPr>
          <w:lang w:val="en-US"/>
        </w:rPr>
        <w:t>CSV</w:t>
      </w:r>
      <w:bookmarkEnd w:id="1172"/>
      <w:bookmarkEnd w:id="1173"/>
    </w:p>
    <w:p w14:paraId="41B43176">
      <w:pPr>
        <w:pStyle w:val="44"/>
      </w:pPr>
      <w:r>
        <w:t xml:space="preserve">Просмотреть файлы формата </w:t>
      </w:r>
      <w:r>
        <w:rPr>
          <w:lang w:val="en-US"/>
        </w:rPr>
        <w:t>CSV</w:t>
      </w:r>
      <w:r>
        <w:t xml:space="preserve"> (имя_файла.</w:t>
      </w:r>
      <w:r>
        <w:rPr>
          <w:lang w:val="en-US"/>
        </w:rPr>
        <w:t>csv</w:t>
      </w:r>
      <w:r>
        <w:t>) можно с использованием приложения для работы с таблицами (например, Exce</w:t>
      </w:r>
      <w:r>
        <w:rPr>
          <w:lang w:val="en-US"/>
        </w:rPr>
        <w:t>l</w:t>
      </w:r>
      <w:r>
        <w:t>).</w:t>
      </w:r>
    </w:p>
    <w:p w14:paraId="38DA661E">
      <w:pPr>
        <w:pStyle w:val="44"/>
      </w:pPr>
      <w:r>
        <w:t xml:space="preserve">Для просмотра файла формата </w:t>
      </w:r>
      <w:r>
        <w:rPr>
          <w:lang w:val="en-US"/>
        </w:rPr>
        <w:t>CSV</w:t>
      </w:r>
      <w:r>
        <w:t xml:space="preserve"> </w:t>
      </w:r>
      <w:r>
        <w:rPr>
          <w:lang w:val="en-US"/>
        </w:rPr>
        <w:t>c</w:t>
      </w:r>
      <w:r>
        <w:t xml:space="preserve"> использованием </w:t>
      </w:r>
      <w:r>
        <w:rPr>
          <w:lang w:val="en-US"/>
        </w:rPr>
        <w:t>Excel</w:t>
      </w:r>
      <w:r>
        <w:t xml:space="preserve"> необходимо выполнить следующие действия:</w:t>
      </w:r>
    </w:p>
    <w:p w14:paraId="2D8C561B">
      <w:pPr>
        <w:pStyle w:val="50"/>
        <w:numPr>
          <w:ilvl w:val="0"/>
          <w:numId w:val="24"/>
        </w:numPr>
        <w:tabs>
          <w:tab w:val="clear" w:pos="0"/>
        </w:tabs>
      </w:pPr>
      <w:r>
        <w:t xml:space="preserve">в приложении </w:t>
      </w:r>
      <w:r>
        <w:rPr>
          <w:lang w:val="en-US"/>
        </w:rPr>
        <w:t>Excel</w:t>
      </w:r>
      <w:r>
        <w:t xml:space="preserve"> на вкладке «Данные» выбрать пункт «Получить данные»;</w:t>
      </w:r>
    </w:p>
    <w:p w14:paraId="7BD00F0A">
      <w:pPr>
        <w:pStyle w:val="50"/>
        <w:numPr>
          <w:ilvl w:val="0"/>
          <w:numId w:val="11"/>
        </w:numPr>
        <w:tabs>
          <w:tab w:val="clear" w:pos="0"/>
        </w:tabs>
      </w:pPr>
      <w:r>
        <w:t>в открывшемся меню выбрать пункт «Из файла» и указать тип источника «Из текстового/</w:t>
      </w:r>
      <w:r>
        <w:rPr>
          <w:lang w:val="en-US"/>
        </w:rPr>
        <w:t>CSV</w:t>
      </w:r>
      <w:r>
        <w:t xml:space="preserve">-файла» (рис. </w:t>
      </w:r>
      <w:r>
        <w:fldChar w:fldCharType="begin"/>
      </w:r>
      <w:r>
        <w:instrText xml:space="preserve"> REF  _Ref184983914 \h \t \#0 \* MERGEFORMAT </w:instrText>
      </w:r>
      <w:r>
        <w:fldChar w:fldCharType="separate"/>
      </w:r>
      <w:r>
        <w:t>240</w:t>
      </w:r>
      <w:r>
        <w:fldChar w:fldCharType="end"/>
      </w:r>
      <w:r>
        <w:t>);</w:t>
      </w:r>
    </w:p>
    <w:p w14:paraId="77DDEC8A">
      <w:pPr>
        <w:pStyle w:val="48"/>
      </w:pPr>
      <w:r>
        <w:drawing>
          <wp:inline distT="0" distB="0" distL="0" distR="0">
            <wp:extent cx="4679950" cy="3956050"/>
            <wp:effectExtent l="19050" t="19050" r="25400" b="25400"/>
            <wp:docPr id="1987938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38969" name="Рисунок 1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9565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C8585B">
      <w:pPr>
        <w:pStyle w:val="49"/>
      </w:pPr>
      <w:bookmarkStart w:id="1174" w:name="_Ref1849839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240</w:t>
      </w:r>
      <w:r>
        <w:fldChar w:fldCharType="end"/>
      </w:r>
      <w:bookmarkEnd w:id="1174"/>
      <w:r>
        <w:t xml:space="preserve"> — Вкладка «Данные». Выбор источника</w:t>
      </w:r>
    </w:p>
    <w:p w14:paraId="7BF25606">
      <w:pPr>
        <w:pStyle w:val="50"/>
      </w:pPr>
      <w:r>
        <w:t>в открывшемся окне «Импорт данных» выбрать нужный файл и нажать кнопку «Импорт». В открывшемся меню будут представлены автоматически определенные значения параметров «Источник файла» (по умолчанию: Юникод (</w:t>
      </w:r>
      <w:r>
        <w:rPr>
          <w:lang w:val="en-US"/>
        </w:rPr>
        <w:t>UTF</w:t>
      </w:r>
      <w:r>
        <w:t>-8)), «Разделитель», «Обнаружение типов данных»;</w:t>
      </w:r>
    </w:p>
    <w:p w14:paraId="1ADB2283">
      <w:pPr>
        <w:pStyle w:val="50"/>
      </w:pPr>
      <w:r>
        <w:t xml:space="preserve">убедиться, что в поле «Разделитель» отображается значение «Точка с запятой» и нажать кнопку «Загрузить». Массив данных будет разделен на столбцы (рис. </w:t>
      </w:r>
      <w:r>
        <w:fldChar w:fldCharType="begin"/>
      </w:r>
      <w:r>
        <w:instrText xml:space="preserve"> REF  _Ref184985781 \h \t \#0 \* MERGEFORMAT </w:instrText>
      </w:r>
      <w:r>
        <w:fldChar w:fldCharType="separate"/>
      </w:r>
      <w:r>
        <w:t>241</w:t>
      </w:r>
      <w:r>
        <w:fldChar w:fldCharType="end"/>
      </w:r>
      <w:r>
        <w:t>).</w:t>
      </w:r>
    </w:p>
    <w:p w14:paraId="63C7B8A8">
      <w:pPr>
        <w:pStyle w:val="48"/>
      </w:pPr>
      <w:r>
        <w:drawing>
          <wp:inline distT="0" distB="0" distL="0" distR="0">
            <wp:extent cx="5759450" cy="3824605"/>
            <wp:effectExtent l="19050" t="19050" r="12700" b="23495"/>
            <wp:docPr id="582473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473013" name="Рисунок 1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2465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03E04C">
      <w:pPr>
        <w:pStyle w:val="49"/>
      </w:pPr>
      <w:bookmarkStart w:id="1175" w:name="_Ref1849857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241</w:t>
      </w:r>
      <w:r>
        <w:fldChar w:fldCharType="end"/>
      </w:r>
      <w:bookmarkEnd w:id="1175"/>
      <w:r>
        <w:t xml:space="preserve"> — Данные, разделенные на столбцы</w:t>
      </w:r>
    </w:p>
    <w:p w14:paraId="2FC0803A">
      <w:pPr>
        <w:pStyle w:val="44"/>
      </w:pPr>
      <w:r>
        <w:t xml:space="preserve">Если данные не разделены на столбцы, то значение параметра «Разделитель» определено неверно (рис. </w:t>
      </w:r>
      <w:r>
        <w:fldChar w:fldCharType="begin"/>
      </w:r>
      <w:r>
        <w:instrText xml:space="preserve"> REF  _Ref184987665 \h \t \#0 \* MERGEFORMAT </w:instrText>
      </w:r>
      <w:r>
        <w:fldChar w:fldCharType="separate"/>
      </w:r>
      <w:r>
        <w:t>242</w:t>
      </w:r>
      <w:r>
        <w:fldChar w:fldCharType="end"/>
      </w:r>
      <w:r>
        <w:t>). Необходимо в параметре «Разделитель» установить значение «Точка с запятой».</w:t>
      </w:r>
    </w:p>
    <w:p w14:paraId="070408E4">
      <w:pPr>
        <w:pStyle w:val="48"/>
      </w:pPr>
      <w:r>
        <w:drawing>
          <wp:inline distT="0" distB="0" distL="0" distR="0">
            <wp:extent cx="5759450" cy="2314575"/>
            <wp:effectExtent l="19050" t="19050" r="12700" b="9525"/>
            <wp:docPr id="20453225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322566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1476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C99A2F5">
      <w:pPr>
        <w:pStyle w:val="49"/>
      </w:pPr>
      <w:bookmarkStart w:id="1176" w:name="_Ref1849876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242</w:t>
      </w:r>
      <w:r>
        <w:fldChar w:fldCharType="end"/>
      </w:r>
      <w:bookmarkEnd w:id="1176"/>
      <w:r>
        <w:t xml:space="preserve"> — Данные, не разделенные на столбцы</w:t>
      </w:r>
    </w:p>
    <w:p w14:paraId="57067F6C">
      <w:pPr>
        <w:pStyle w:val="43"/>
      </w:pPr>
      <w:bookmarkStart w:id="1177" w:name="_Hlk85756914"/>
      <w:r>
        <w:t>Журнал изменений</w:t>
      </w:r>
    </w:p>
    <w:bookmarkEnd w:id="1177"/>
    <w:tbl>
      <w:tblPr>
        <w:tblStyle w:val="12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12" w:space="0"/>
          <w:insideV w:val="single" w:color="auto" w:sz="12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87"/>
        <w:gridCol w:w="1461"/>
        <w:gridCol w:w="2381"/>
        <w:gridCol w:w="3393"/>
        <w:gridCol w:w="1929"/>
      </w:tblGrid>
      <w:tr w14:paraId="79B929F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035B7974">
            <w:pPr>
              <w:pStyle w:val="53"/>
            </w:pPr>
            <w:r>
              <w:t>№ п/п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674F0705">
            <w:pPr>
              <w:pStyle w:val="53"/>
            </w:pPr>
            <w:r>
              <w:t>Дата изменения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5DCD2747">
            <w:pPr>
              <w:pStyle w:val="53"/>
            </w:pPr>
            <w:r>
              <w:t>Место изменения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2268AE2E">
            <w:pPr>
              <w:pStyle w:val="53"/>
            </w:pPr>
            <w:r>
              <w:t>Содержание изменения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24EED6F5">
            <w:pPr>
              <w:pStyle w:val="53"/>
            </w:pPr>
            <w:r>
              <w:t>Изменил</w:t>
            </w:r>
          </w:p>
        </w:tc>
      </w:tr>
      <w:tr w14:paraId="42D8E9B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doub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480AF4">
            <w:pPr>
              <w:pStyle w:val="54"/>
            </w:pPr>
            <w:r>
              <w:t>Версия 2.00</w:t>
            </w:r>
          </w:p>
        </w:tc>
      </w:tr>
      <w:tr w14:paraId="36939E16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8C45C5">
            <w:pPr>
              <w:pStyle w:val="57"/>
            </w:pPr>
            <w:r>
              <w:t>1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5D6A69">
            <w:pPr>
              <w:pStyle w:val="54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C821CD">
            <w:pPr>
              <w:pStyle w:val="54"/>
            </w:pPr>
            <w:r>
              <w:t>Таблица 1 «Перечень выполняемых операций и задач», 4.1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C57F47">
            <w:pPr>
              <w:pStyle w:val="54"/>
            </w:pPr>
            <w:r>
              <w:t>Добавлена задача «Учет доступности коечного фонда МО»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B09D68">
            <w:pPr>
              <w:pStyle w:val="54"/>
            </w:pPr>
            <w:r>
              <w:t>Сенотов С.Н.</w:t>
            </w:r>
          </w:p>
        </w:tc>
      </w:tr>
      <w:tr w14:paraId="5DC38FE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247CD8">
            <w:pPr>
              <w:pStyle w:val="57"/>
            </w:pPr>
            <w:r>
              <w:t>2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D655EB">
            <w:pPr>
              <w:pStyle w:val="54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AADDFA">
            <w:pPr>
              <w:pStyle w:val="54"/>
            </w:pPr>
            <w:r>
              <w:t>Таблица 1 «Перечень выполняемых операций и задач», 4.1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12B635">
            <w:pPr>
              <w:pStyle w:val="54"/>
            </w:pPr>
            <w:r>
              <w:t>Добавлена задача «Просмотр сведений ОШС МО по данным ФРМО и ФРМР»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E4E8CA">
            <w:pPr>
              <w:pStyle w:val="54"/>
            </w:pPr>
            <w:r>
              <w:t>Сенотов С.Н.</w:t>
            </w:r>
          </w:p>
        </w:tc>
      </w:tr>
      <w:tr w14:paraId="6CDF06A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5721BE">
            <w:pPr>
              <w:pStyle w:val="57"/>
            </w:pPr>
            <w:r>
              <w:t>3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B63A0E">
            <w:pPr>
              <w:pStyle w:val="54"/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DE2897">
            <w:pPr>
              <w:pStyle w:val="54"/>
            </w:pPr>
            <w:r>
              <w:t>Подраздел 4.2 «Учет сведений об оказанной медицинской помощи»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C80C49">
            <w:pPr>
              <w:pStyle w:val="54"/>
            </w:pPr>
            <w:r>
              <w:t>Добавлен пункт 4.2.11«Просмотр сведений в составе СЭФД по разделу XV Правил ОМС»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8C27C9">
            <w:pPr>
              <w:pStyle w:val="54"/>
            </w:pPr>
            <w:r>
              <w:t>Сенотов С.Н.</w:t>
            </w:r>
          </w:p>
        </w:tc>
      </w:tr>
      <w:tr w14:paraId="4633867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74A14E">
            <w:pPr>
              <w:pStyle w:val="57"/>
              <w:rPr>
                <w:lang w:val="en-US"/>
              </w:rPr>
            </w:pPr>
            <w:r>
              <w:t>4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5D0800">
            <w:pPr>
              <w:pStyle w:val="54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F08B998">
            <w:pPr>
              <w:pStyle w:val="54"/>
            </w:pPr>
            <w:r>
              <w:t>Раздел 4 «Описание операций»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C4F501">
            <w:pPr>
              <w:pStyle w:val="54"/>
            </w:pPr>
            <w:r>
              <w:t>Добавлен подраздел 4.8 «Учет доступности коечного фонда»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F7F9B5">
            <w:pPr>
              <w:pStyle w:val="54"/>
            </w:pPr>
            <w:r>
              <w:t>Сенотов С.Н.</w:t>
            </w:r>
          </w:p>
        </w:tc>
      </w:tr>
      <w:tr w14:paraId="55544C2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BB85C9">
            <w:pPr>
              <w:pStyle w:val="57"/>
            </w:pPr>
            <w:r>
              <w:t>5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084D14">
            <w:pPr>
              <w:pStyle w:val="54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81E909">
            <w:pPr>
              <w:pStyle w:val="54"/>
            </w:pPr>
            <w:r>
              <w:t>Раздел 4 «Описание операций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D5BFE8">
            <w:pPr>
              <w:pStyle w:val="54"/>
            </w:pPr>
            <w:r>
              <w:t>Добавлен подраздел 4.9 «Просмотр сведений организационно-штатной структуры МО по данным ФРМО и ФРМР»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30059E">
            <w:pPr>
              <w:pStyle w:val="54"/>
            </w:pPr>
            <w:r>
              <w:t>Сенотов С.Н.</w:t>
            </w:r>
          </w:p>
        </w:tc>
      </w:tr>
      <w:tr w14:paraId="14655D6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FB22A8">
            <w:pPr>
              <w:pStyle w:val="57"/>
            </w:pPr>
            <w:r>
              <w:t>6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6D455F">
            <w:pPr>
              <w:pStyle w:val="54"/>
              <w:rPr>
                <w:szCs w:val="22"/>
              </w:rPr>
            </w:pPr>
            <w:r>
              <w:rPr>
                <w:szCs w:val="22"/>
                <w:lang w:val="en-US"/>
              </w:rP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0B2C25">
            <w:pPr>
              <w:pStyle w:val="54"/>
              <w:rPr>
                <w:bCs/>
                <w:iCs/>
              </w:rPr>
            </w:pPr>
            <w:r>
              <w:t>Приложение Б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CA97117">
            <w:pPr>
              <w:pStyle w:val="54"/>
              <w:rPr>
                <w:szCs w:val="22"/>
              </w:rPr>
            </w:pPr>
            <w:r>
              <w:t xml:space="preserve">Добавлено Приложение Б «Просмотр файлов формата </w:t>
            </w:r>
            <w:r>
              <w:rPr>
                <w:lang w:val="en-US"/>
              </w:rPr>
              <w:t>XML</w:t>
            </w:r>
            <w:r>
              <w:t xml:space="preserve"> и CSV»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645D8A">
            <w:pPr>
              <w:pStyle w:val="54"/>
            </w:pPr>
            <w:r>
              <w:t>Сенотов С.Н.</w:t>
            </w:r>
          </w:p>
        </w:tc>
      </w:tr>
      <w:tr w14:paraId="4ADB307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358279">
            <w:pPr>
              <w:pStyle w:val="54"/>
            </w:pPr>
            <w:r>
              <w:t>Версия 3.00</w:t>
            </w:r>
          </w:p>
        </w:tc>
      </w:tr>
      <w:tr w14:paraId="24E38DD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BD5CAA">
            <w:pPr>
              <w:pStyle w:val="57"/>
            </w:pPr>
            <w:r>
              <w:t>7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989F3A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02.04.2025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215A1F">
            <w:pPr>
              <w:pStyle w:val="54"/>
            </w:pPr>
            <w:r>
              <w:t>Раздел 4 «Описание операций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8B4063">
            <w:pPr>
              <w:pStyle w:val="54"/>
            </w:pPr>
            <w:r>
              <w:t>Уточнено описание операций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31E9CF">
            <w:pPr>
              <w:pStyle w:val="54"/>
            </w:pPr>
            <w:r>
              <w:t>Сенотов С.Н.</w:t>
            </w:r>
          </w:p>
        </w:tc>
      </w:tr>
      <w:tr w14:paraId="2E23617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C5D45D">
            <w:pPr>
              <w:pStyle w:val="57"/>
            </w:pPr>
            <w:r>
              <w:t>8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70CA66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02.04.2025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11AA5C">
            <w:pPr>
              <w:pStyle w:val="54"/>
            </w:pPr>
            <w:r>
              <w:t>Раздел 4 «Описание операций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2C15634">
            <w:pPr>
              <w:pStyle w:val="54"/>
            </w:pPr>
            <w:r>
              <w:t xml:space="preserve">Добавлен подраздел 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_Ref195096119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4.10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 xml:space="preserve"> «Формирование и просмотр отчетов «План-факт» и «Факт за месяц»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14C701">
            <w:pPr>
              <w:pStyle w:val="54"/>
            </w:pPr>
            <w:r>
              <w:t>Сенотов С.Н.</w:t>
            </w:r>
          </w:p>
        </w:tc>
      </w:tr>
      <w:tr w14:paraId="27768E3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5E9528">
            <w:pPr>
              <w:pStyle w:val="57"/>
            </w:pPr>
            <w:r>
              <w:t>9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8CD63B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27.06.2025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035FD7">
            <w:pPr>
              <w:pStyle w:val="54"/>
            </w:pPr>
            <w:r>
              <w:t>Раздел 4 «Описание операций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807CBF">
            <w:pPr>
              <w:pStyle w:val="54"/>
            </w:pPr>
            <w:r>
              <w:t xml:space="preserve">Добавлен пункт </w:t>
            </w:r>
            <w:r>
              <w:fldChar w:fldCharType="begin"/>
            </w:r>
            <w:r>
              <w:instrText xml:space="preserve"> REF _Ref201912691 \n \h  \* MERGEFORMAT </w:instrText>
            </w:r>
            <w:r>
              <w:fldChar w:fldCharType="separate"/>
            </w:r>
            <w:r>
              <w:t>4.3.10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_Ref201912691 \h  \* MERGEFORMAT </w:instrText>
            </w:r>
            <w:r>
              <w:fldChar w:fldCharType="separate"/>
            </w:r>
            <w:r>
              <w:t>Просмотр результатов повторного МЭК</w:t>
            </w:r>
            <w:r>
              <w:fldChar w:fldCharType="end"/>
            </w:r>
            <w:r>
              <w:t>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3E635C">
            <w:pPr>
              <w:pStyle w:val="54"/>
            </w:pPr>
            <w:r>
              <w:t>Сенотов С.Н.</w:t>
            </w:r>
          </w:p>
        </w:tc>
      </w:tr>
      <w:tr w14:paraId="72C9F9A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3A02D6">
            <w:pPr>
              <w:pStyle w:val="57"/>
            </w:pPr>
            <w:r>
              <w:t>10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8B8A14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01.07.2025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3D2643">
            <w:pPr>
              <w:pStyle w:val="54"/>
              <w:rPr>
                <w:lang w:val="en-US"/>
              </w:rPr>
            </w:pPr>
            <w:r>
              <w:t xml:space="preserve">Раздел </w:t>
            </w:r>
            <w:r>
              <w:rPr>
                <w:lang w:val="en-US"/>
              </w:rPr>
              <w:t>3</w:t>
            </w:r>
            <w:r>
              <w:t xml:space="preserve"> «Подготовка к работе»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F1C211">
            <w:pPr>
              <w:pStyle w:val="54"/>
            </w:pPr>
            <w:r>
              <w:t>Описание раздела актуализировано по результатам опытной эксплуатации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AEC50A">
            <w:pPr>
              <w:pStyle w:val="54"/>
            </w:pPr>
            <w:r>
              <w:t>Сенотов С.Н.</w:t>
            </w:r>
          </w:p>
        </w:tc>
      </w:tr>
      <w:tr w14:paraId="4CFF74C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7C7B60">
            <w:pPr>
              <w:pStyle w:val="57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95F2C2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01.07.2025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8ED0FE">
            <w:pPr>
              <w:pStyle w:val="54"/>
            </w:pPr>
            <w:r>
              <w:t>Раздел 4 «Описание операций»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F49C48">
            <w:pPr>
              <w:pStyle w:val="54"/>
            </w:pPr>
            <w:r>
              <w:t>Описание раздела актуализировано по результатам опытной эксплуатации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1C413B">
            <w:pPr>
              <w:pStyle w:val="54"/>
            </w:pPr>
            <w:r>
              <w:t>Сенотов С.Н.</w:t>
            </w:r>
          </w:p>
        </w:tc>
      </w:tr>
      <w:tr w14:paraId="6492347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2E12C0">
            <w:pPr>
              <w:pStyle w:val="54"/>
            </w:pPr>
            <w:r>
              <w:t>Версия 4.00</w:t>
            </w:r>
          </w:p>
        </w:tc>
      </w:tr>
      <w:tr w14:paraId="45C0963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502D1C">
            <w:pPr>
              <w:pStyle w:val="57"/>
            </w:pPr>
            <w:r>
              <w:t>12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DF7100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FEE112">
            <w:pPr>
              <w:pStyle w:val="54"/>
            </w:pPr>
            <w:r>
              <w:t>Раздел 1 «Введение»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0D41BC">
            <w:pPr>
              <w:pStyle w:val="54"/>
            </w:pPr>
            <w:r>
              <w:t>Подраздел 1.2 «Нормативно-правовые акты» исключен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9FAD1A">
            <w:pPr>
              <w:pStyle w:val="54"/>
            </w:pPr>
            <w:r>
              <w:t>Сенотов С.Н.</w:t>
            </w:r>
          </w:p>
        </w:tc>
      </w:tr>
      <w:tr w14:paraId="67BD476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D4AD53">
            <w:pPr>
              <w:pStyle w:val="57"/>
            </w:pPr>
            <w:r>
              <w:t>13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0A2CCF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65CB01">
            <w:pPr>
              <w:pStyle w:val="54"/>
            </w:pPr>
            <w:r>
              <w:t>Раздел 4 «Описание операций»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29BBFB">
            <w:pPr>
              <w:pStyle w:val="54"/>
            </w:pPr>
            <w:r>
              <w:t>Рисунки раздела приведены в соответствие с настройкой интерфейса пользователя по запросам на изменение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1D6520">
            <w:pPr>
              <w:pStyle w:val="54"/>
            </w:pPr>
            <w:r>
              <w:t>Сенотов С.Н.</w:t>
            </w:r>
          </w:p>
        </w:tc>
      </w:tr>
      <w:tr w14:paraId="4E8703A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6ECD5C">
            <w:pPr>
              <w:pStyle w:val="57"/>
            </w:pPr>
            <w:r>
              <w:t>14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C90016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1538A4">
            <w:pPr>
              <w:pStyle w:val="54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_Ref182930566 \n \h </w:instrText>
            </w:r>
            <w:r>
              <w:fldChar w:fldCharType="separate"/>
            </w:r>
            <w:r>
              <w:t>4.8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_Ref182930566 \h </w:instrText>
            </w:r>
            <w:r>
              <w:fldChar w:fldCharType="separate"/>
            </w:r>
            <w:r>
              <w:t>Учет доступности коечного фонда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2AAD96">
            <w:pPr>
              <w:pStyle w:val="54"/>
            </w:pPr>
            <w:r>
              <w:t>Детализировано описание функций просмотра сведений по учету коечного фонда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5254AC">
            <w:pPr>
              <w:pStyle w:val="54"/>
            </w:pPr>
            <w:r>
              <w:t>Сенотов С.Н.</w:t>
            </w:r>
          </w:p>
        </w:tc>
      </w:tr>
      <w:tr w14:paraId="54CE4F8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BF5FE2">
            <w:pPr>
              <w:pStyle w:val="54"/>
            </w:pPr>
            <w:r>
              <w:t>Версия 4.01</w:t>
            </w:r>
          </w:p>
        </w:tc>
      </w:tr>
      <w:tr w14:paraId="77268A1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CE7DD0">
            <w:pPr>
              <w:pStyle w:val="57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5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BD40C5">
            <w:pPr>
              <w:pStyle w:val="54"/>
              <w:rPr>
                <w:szCs w:val="22"/>
              </w:rPr>
            </w:pPr>
            <w: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6AA5D9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_Ref133516119 \w \h </w:instrText>
            </w:r>
            <w:r>
              <w:fldChar w:fldCharType="separate"/>
            </w:r>
            <w:r>
              <w:t>3.3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_Ref133516119 \h </w:instrText>
            </w:r>
            <w:r>
              <w:fldChar w:fldCharType="separate"/>
            </w:r>
            <w:r>
              <w:t>Порядок запуска подсистемы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695F54">
            <w:pPr>
              <w:pStyle w:val="54"/>
            </w:pPr>
            <w:r>
              <w:t>Добавлены снимки экранных форм и уточнено описание выполнения операций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7B1020">
            <w:pPr>
              <w:pStyle w:val="54"/>
            </w:pPr>
            <w:r>
              <w:t>Сенотов С.Н.</w:t>
            </w:r>
          </w:p>
        </w:tc>
      </w:tr>
      <w:tr w14:paraId="26C372D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8BA457">
            <w:pPr>
              <w:pStyle w:val="57"/>
            </w:pPr>
            <w:r>
              <w:t>16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2C6251">
            <w:pPr>
              <w:pStyle w:val="54"/>
              <w:rPr>
                <w:szCs w:val="22"/>
              </w:rPr>
            </w:pPr>
            <w:r>
              <w:rPr>
                <w:szCs w:val="22"/>
                <w:lang w:val="en-US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C4868F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_Ref203489767 \w \h  \* MERGEFORMAT </w:instrText>
            </w:r>
            <w:r>
              <w:fldChar w:fldCharType="separate"/>
            </w:r>
            <w:r>
              <w:t>3.6.2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_Ref203489767 \h  \* MERGEFORMAT </w:instrText>
            </w:r>
            <w:r>
              <w:fldChar w:fldCharType="separate"/>
            </w:r>
            <w:r>
              <w:t>Область отображения данных пользователя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6ADA36">
            <w:pPr>
              <w:pStyle w:val="54"/>
            </w:pPr>
            <w:r>
              <w:t>Добавлены снимок и описание области отображения данных для пользователя с ролью куратор по МО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4247A6">
            <w:pPr>
              <w:pStyle w:val="54"/>
            </w:pPr>
            <w:r>
              <w:t>Пищелка Т.А.</w:t>
            </w:r>
          </w:p>
        </w:tc>
      </w:tr>
      <w:tr w14:paraId="3A40C66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9F8691">
            <w:pPr>
              <w:pStyle w:val="57"/>
            </w:pPr>
            <w:r>
              <w:t>17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FA57DE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09CEC3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_Ref142477690 \n \h </w:instrText>
            </w:r>
            <w:r>
              <w:fldChar w:fldCharType="separate"/>
            </w:r>
            <w:r>
              <w:t>4.2.6.3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_Ref142477690 \h </w:instrText>
            </w:r>
            <w:r>
              <w:fldChar w:fldCharType="separate"/>
            </w:r>
            <w:r>
              <w:t xml:space="preserve">Просмотр сведений о стоимости 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4E1D6D">
            <w:pPr>
              <w:pStyle w:val="54"/>
            </w:pPr>
            <w:r>
              <w:t>Расширено описание раздела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CBD1EA">
            <w:pPr>
              <w:pStyle w:val="54"/>
            </w:pPr>
            <w:r>
              <w:t>Сенотов С.Н.</w:t>
            </w:r>
          </w:p>
        </w:tc>
      </w:tr>
      <w:tr w14:paraId="298AF32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1A4DAB">
            <w:pPr>
              <w:pStyle w:val="57"/>
            </w:pPr>
            <w:r>
              <w:rPr>
                <w:lang w:val="en-US"/>
              </w:rPr>
              <w:t>1</w:t>
            </w:r>
            <w:r>
              <w:t>7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227A9B">
            <w:pPr>
              <w:pStyle w:val="5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C64BD9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_Ref154663028 \w \h </w:instrText>
            </w:r>
            <w:r>
              <w:fldChar w:fldCharType="separate"/>
            </w:r>
            <w:r>
              <w:t>4.3</w:t>
            </w:r>
            <w:r>
              <w:fldChar w:fldCharType="end"/>
            </w:r>
            <w:r>
              <w:t>«</w:t>
            </w:r>
            <w:r>
              <w:fldChar w:fldCharType="begin"/>
            </w:r>
            <w:r>
              <w:instrText xml:space="preserve"> REF _Ref154663028 \h </w:instrText>
            </w:r>
            <w:r>
              <w:fldChar w:fldCharType="separate"/>
            </w:r>
            <w:r>
              <w:t>Формирование счетов и реестра счетов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589EDF">
            <w:pPr>
              <w:pStyle w:val="54"/>
            </w:pPr>
            <w:r>
              <w:t>Добавлены сведения о потенциальном счете и сведения об отображении счетов для МО в реестре счетов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D39F16">
            <w:pPr>
              <w:pStyle w:val="54"/>
            </w:pPr>
            <w:r>
              <w:t>Пищелка Т.А.</w:t>
            </w:r>
          </w:p>
        </w:tc>
      </w:tr>
      <w:tr w14:paraId="052BF76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3C475A">
            <w:pPr>
              <w:pStyle w:val="57"/>
            </w:pPr>
            <w:r>
              <w:t>18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8A262D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E78E6C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_Ref505268483 \w \h </w:instrText>
            </w:r>
            <w:r>
              <w:fldChar w:fldCharType="separate"/>
            </w:r>
            <w:r>
              <w:t>4.3.4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_Ref505268483 \h </w:instrText>
            </w:r>
            <w:r>
              <w:fldChar w:fldCharType="separate"/>
            </w:r>
            <w:r>
              <w:t>Просмотр папки с ошибочными СЭФД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4FABA9">
            <w:pPr>
              <w:pStyle w:val="54"/>
            </w:pPr>
            <w:r>
              <w:t>Актуализировано описание раздела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7957D8">
            <w:pPr>
              <w:pStyle w:val="54"/>
            </w:pPr>
            <w:r>
              <w:t>Пищелка Т.А.</w:t>
            </w:r>
          </w:p>
        </w:tc>
      </w:tr>
      <w:tr w14:paraId="26CD750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F72648">
            <w:pPr>
              <w:pStyle w:val="57"/>
            </w:pPr>
            <w:r>
              <w:t>19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844F4E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E3312F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_Ref224815360 \r \h </w:instrText>
            </w:r>
            <w:r>
              <w:fldChar w:fldCharType="separate"/>
            </w:r>
            <w:r>
              <w:t>4.3.8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_Ref224815378 \h </w:instrText>
            </w:r>
            <w:r>
              <w:fldChar w:fldCharType="separate"/>
            </w:r>
            <w:r>
              <w:t>Статусы счетов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E2CDB7">
            <w:pPr>
              <w:pStyle w:val="54"/>
            </w:pPr>
            <w:r>
              <w:t xml:space="preserve">Актуализирована таблица </w:t>
            </w:r>
            <w:r>
              <w:fldChar w:fldCharType="begin"/>
            </w:r>
            <w:r>
              <w:instrText xml:space="preserve"> REF  _Ref133512671 \h \t \#\0 \* MERGEFORMAT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  <w:r>
              <w:t xml:space="preserve"> «Статусы счетов»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FA9FB4">
            <w:pPr>
              <w:pStyle w:val="54"/>
            </w:pPr>
            <w:r>
              <w:t>Сенотов С.Н.</w:t>
            </w:r>
          </w:p>
        </w:tc>
      </w:tr>
      <w:tr w14:paraId="20BF2EF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99C4EE">
            <w:pPr>
              <w:pStyle w:val="57"/>
            </w:pPr>
            <w:r>
              <w:t>20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24CB7C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9F129C">
            <w:pPr>
              <w:pStyle w:val="54"/>
            </w:pPr>
            <w:r>
              <w:fldChar w:fldCharType="begin"/>
            </w:r>
            <w:r>
              <w:instrText xml:space="preserve"> REF _Ref154745681 \n \h </w:instrText>
            </w:r>
            <w:r>
              <w:fldChar w:fldCharType="separate"/>
            </w:r>
            <w:r>
              <w:t>Приложение А</w:t>
            </w:r>
            <w:r>
              <w:fldChar w:fldCharType="end"/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99DE36">
            <w:pPr>
              <w:pStyle w:val="54"/>
            </w:pPr>
            <w:r>
              <w:t>Актуализировано описание статусов СЭФД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EE9B0E">
            <w:pPr>
              <w:pStyle w:val="54"/>
            </w:pPr>
            <w:r>
              <w:t>Сенотов С.Н.</w:t>
            </w:r>
          </w:p>
        </w:tc>
      </w:tr>
      <w:tr w14:paraId="473D536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FF7167">
            <w:pPr>
              <w:pStyle w:val="57"/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AE652C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6BFA10">
            <w:pPr>
              <w:pStyle w:val="54"/>
            </w:pPr>
            <w:r>
              <w:t>Приложения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6510AE">
            <w:pPr>
              <w:pStyle w:val="54"/>
            </w:pPr>
            <w:r>
              <w:t xml:space="preserve">Приложение Б </w:t>
            </w:r>
            <w:r>
              <w:fldChar w:fldCharType="begin"/>
            </w:r>
            <w:r>
              <w:instrText xml:space="preserve"> REF _Ref184982730 \h </w:instrText>
            </w:r>
            <w:r>
              <w:fldChar w:fldCharType="separate"/>
            </w:r>
            <w:r>
              <w:t>(справочное)</w:t>
            </w:r>
            <w:r>
              <w:br w:type="textWrapping"/>
            </w:r>
            <w:r>
              <w:t xml:space="preserve">Просмотр файлов формата </w:t>
            </w:r>
            <w:r>
              <w:rPr>
                <w:lang w:val="en-US"/>
              </w:rPr>
              <w:t>XML</w:t>
            </w:r>
            <w:r>
              <w:t xml:space="preserve"> и </w:t>
            </w:r>
            <w:r>
              <w:rPr>
                <w:lang w:val="en-US"/>
              </w:rPr>
              <w:t>CSV</w:t>
            </w:r>
            <w:r>
              <w:fldChar w:fldCharType="end"/>
            </w:r>
            <w:r>
              <w:t xml:space="preserve"> переименовано в </w:t>
            </w:r>
            <w:r>
              <w:fldChar w:fldCharType="begin"/>
            </w:r>
            <w:r>
              <w:instrText xml:space="preserve"> REF _Ref184982730 \n \h </w:instrText>
            </w:r>
            <w:r>
              <w:fldChar w:fldCharType="separate"/>
            </w:r>
            <w:r>
              <w:t>Приложение В</w:t>
            </w:r>
            <w:r>
              <w:fldChar w:fldCharType="end"/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3DA706">
            <w:pPr>
              <w:pStyle w:val="54"/>
            </w:pPr>
            <w:r>
              <w:t>Сенотов С.Н.</w:t>
            </w:r>
          </w:p>
        </w:tc>
      </w:tr>
      <w:tr w14:paraId="1D1A4AC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15A2E4">
            <w:pPr>
              <w:pStyle w:val="57"/>
            </w:pPr>
            <w:r>
              <w:t>22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16DC1E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075C30">
            <w:pPr>
              <w:pStyle w:val="54"/>
            </w:pPr>
            <w:r>
              <w:t>Приложения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688FDA">
            <w:pPr>
              <w:pStyle w:val="54"/>
            </w:pPr>
            <w:r>
              <w:t xml:space="preserve">Добавлено </w:t>
            </w:r>
            <w:r>
              <w:fldChar w:fldCharType="begin"/>
            </w:r>
            <w:r>
              <w:instrText xml:space="preserve"> REF _Ref225439903 \n \h </w:instrText>
            </w:r>
            <w:r>
              <w:fldChar w:fldCharType="separate"/>
            </w:r>
            <w:r>
              <w:t>Приложение Б</w:t>
            </w:r>
            <w:r>
              <w:fldChar w:fldCharType="end"/>
            </w:r>
            <w:r>
              <w:t xml:space="preserve"> «Типы счетов»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63860B">
            <w:pPr>
              <w:pStyle w:val="54"/>
            </w:pPr>
            <w:r>
              <w:t>Сенотов С.Н.</w:t>
            </w:r>
          </w:p>
        </w:tc>
      </w:tr>
      <w:tr w14:paraId="4F95FAF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E26739">
            <w:pPr>
              <w:pStyle w:val="57"/>
            </w:pPr>
            <w:r>
              <w:t>23</w:t>
            </w: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9E939B">
            <w:pPr>
              <w:pStyle w:val="54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9166FE">
            <w:pPr>
              <w:pStyle w:val="54"/>
            </w:pPr>
            <w:r>
              <w:t>п.</w:t>
            </w:r>
            <w:r>
              <w:fldChar w:fldCharType="begin"/>
            </w:r>
            <w:r>
              <w:instrText xml:space="preserve"> REF _Ref142497263 \n \h </w:instrText>
            </w:r>
            <w:r>
              <w:fldChar w:fldCharType="separate"/>
            </w:r>
            <w:r>
              <w:t>4.4.2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_Ref142497263 \h </w:instrText>
            </w:r>
            <w:r>
              <w:fldChar w:fldCharType="separate"/>
            </w:r>
            <w:r>
              <w:t>Выгрузка отчетов информационного взаимодействия</w:t>
            </w:r>
            <w:r>
              <w:fldChar w:fldCharType="end"/>
            </w:r>
            <w:r>
              <w:t>»</w:t>
            </w: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2900C4">
            <w:pPr>
              <w:pStyle w:val="54"/>
            </w:pPr>
            <w:r>
              <w:t>Детализировано описание раздела. Добавлены п.</w:t>
            </w:r>
            <w:r>
              <w:fldChar w:fldCharType="begin"/>
            </w:r>
            <w:r>
              <w:instrText xml:space="preserve"> REF _Ref225785625 \n \h </w:instrText>
            </w:r>
            <w:r>
              <w:fldChar w:fldCharType="separate"/>
            </w:r>
            <w:r>
              <w:t>4.4.2.1</w:t>
            </w:r>
            <w:r>
              <w:fldChar w:fldCharType="end"/>
            </w:r>
            <w:r>
              <w:t>-</w:t>
            </w:r>
            <w:r>
              <w:fldChar w:fldCharType="begin"/>
            </w:r>
            <w:r>
              <w:instrText xml:space="preserve"> REF _Ref225785642 \n \h </w:instrText>
            </w:r>
            <w:r>
              <w:fldChar w:fldCharType="separate"/>
            </w:r>
            <w:r>
              <w:t>4.4.2.3</w:t>
            </w:r>
            <w:r>
              <w:fldChar w:fldCharType="end"/>
            </w:r>
            <w:r>
              <w:t>, содержащие описание состава информационных посылок</w:t>
            </w: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0F434E">
            <w:pPr>
              <w:pStyle w:val="54"/>
            </w:pPr>
            <w:r>
              <w:t>Сенотов С.Н.</w:t>
            </w:r>
          </w:p>
        </w:tc>
      </w:tr>
      <w:tr w14:paraId="64A238E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4386D3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98255D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2DE6363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979785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9C98E3">
            <w:pPr>
              <w:pStyle w:val="54"/>
            </w:pPr>
          </w:p>
        </w:tc>
      </w:tr>
      <w:tr w14:paraId="4679702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25A021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7CE66F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A0FEFF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637232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20E837">
            <w:pPr>
              <w:pStyle w:val="54"/>
            </w:pPr>
          </w:p>
        </w:tc>
      </w:tr>
      <w:tr w14:paraId="7BD6E1F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4DA56D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D018DF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56E76C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F8EDDA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EC9B94F">
            <w:pPr>
              <w:pStyle w:val="54"/>
            </w:pPr>
          </w:p>
        </w:tc>
      </w:tr>
      <w:tr w14:paraId="0038872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F1F425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A2FD8CD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9D1481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287627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496F1D">
            <w:pPr>
              <w:pStyle w:val="54"/>
            </w:pPr>
          </w:p>
        </w:tc>
      </w:tr>
      <w:tr w14:paraId="26C5691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C92992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4CA9C5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19BB57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34CB1B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607DC3">
            <w:pPr>
              <w:pStyle w:val="54"/>
            </w:pPr>
          </w:p>
        </w:tc>
      </w:tr>
      <w:tr w14:paraId="2BF455C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781008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0BA753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1ED945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81F5CC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BF6E39">
            <w:pPr>
              <w:pStyle w:val="54"/>
            </w:pPr>
          </w:p>
        </w:tc>
      </w:tr>
      <w:tr w14:paraId="4525A82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D075E7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947FDDA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E2735B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F7037C3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17F52E">
            <w:pPr>
              <w:pStyle w:val="54"/>
            </w:pPr>
          </w:p>
        </w:tc>
      </w:tr>
      <w:tr w14:paraId="1F2F0ED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1C1CD2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8AA6F8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34232E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366031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1538C0">
            <w:pPr>
              <w:pStyle w:val="54"/>
            </w:pPr>
          </w:p>
        </w:tc>
      </w:tr>
      <w:tr w14:paraId="6BD43F5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73E613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4E5353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DF6A9F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0A3CF1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D0A198">
            <w:pPr>
              <w:pStyle w:val="54"/>
            </w:pPr>
          </w:p>
        </w:tc>
      </w:tr>
      <w:tr w14:paraId="4D429DD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C58690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C8328F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3484F2D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121FCF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A5AECFE">
            <w:pPr>
              <w:pStyle w:val="54"/>
            </w:pPr>
          </w:p>
        </w:tc>
      </w:tr>
      <w:tr w14:paraId="0EB5C81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EA4EFB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E4B592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167954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397CCE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75DD40">
            <w:pPr>
              <w:pStyle w:val="54"/>
            </w:pPr>
          </w:p>
        </w:tc>
      </w:tr>
      <w:tr w14:paraId="1AEDA45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E6011E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C5AEB3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CBB17D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64E58C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6C6FD3C">
            <w:pPr>
              <w:pStyle w:val="54"/>
            </w:pPr>
          </w:p>
        </w:tc>
      </w:tr>
      <w:tr w14:paraId="714701F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9A8DC8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3DF2D9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9A235C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4B4090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F89A60">
            <w:pPr>
              <w:pStyle w:val="54"/>
            </w:pPr>
          </w:p>
        </w:tc>
      </w:tr>
      <w:tr w14:paraId="2CB6A2D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0B0347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3897B3C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49685D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35A123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F737E07">
            <w:pPr>
              <w:pStyle w:val="54"/>
            </w:pPr>
          </w:p>
        </w:tc>
      </w:tr>
      <w:tr w14:paraId="1705F80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F68A5A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2648BA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C103F3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C16F33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D3BCFD">
            <w:pPr>
              <w:pStyle w:val="54"/>
            </w:pPr>
          </w:p>
        </w:tc>
      </w:tr>
      <w:tr w14:paraId="1FDE031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4A60DA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724B43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BE086F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563B8D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9377706">
            <w:pPr>
              <w:pStyle w:val="54"/>
            </w:pPr>
          </w:p>
        </w:tc>
      </w:tr>
      <w:tr w14:paraId="57BDC21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CEAC6A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B94382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5FCCBB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3E2189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996B7F">
            <w:pPr>
              <w:pStyle w:val="54"/>
            </w:pPr>
          </w:p>
        </w:tc>
      </w:tr>
      <w:tr w14:paraId="21FA34C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A3F42FB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F949C4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8F889F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78F9E0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16F679">
            <w:pPr>
              <w:pStyle w:val="54"/>
            </w:pPr>
          </w:p>
        </w:tc>
      </w:tr>
      <w:tr w14:paraId="5C00C71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2CC0DE">
            <w:pPr>
              <w:pStyle w:val="57"/>
            </w:pPr>
          </w:p>
        </w:tc>
        <w:tc>
          <w:tcPr>
            <w:tcW w:w="74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EFCF21">
            <w:pPr>
              <w:pStyle w:val="54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E9ED97">
            <w:pPr>
              <w:pStyle w:val="54"/>
            </w:pPr>
          </w:p>
        </w:tc>
        <w:tc>
          <w:tcPr>
            <w:tcW w:w="174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4CBA6E">
            <w:pPr>
              <w:pStyle w:val="54"/>
            </w:pPr>
          </w:p>
        </w:tc>
        <w:tc>
          <w:tcPr>
            <w:tcW w:w="9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F990279">
            <w:pPr>
              <w:pStyle w:val="54"/>
            </w:pPr>
          </w:p>
        </w:tc>
      </w:tr>
    </w:tbl>
    <w:p w14:paraId="1D102A54">
      <w:pPr>
        <w:pStyle w:val="44"/>
      </w:pPr>
    </w:p>
    <w:sectPr>
      <w:headerReference r:id="rId9" w:type="default"/>
      <w:footerReference r:id="rId10" w:type="default"/>
      <w:footnotePr>
        <w:numRestart w:val="eachPage"/>
      </w:footnotePr>
      <w:pgSz w:w="11906" w:h="16838"/>
      <w:pgMar w:top="1134" w:right="851" w:bottom="1134" w:left="1418" w:header="567" w:footer="397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6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5941"/>
      <w:gridCol w:w="1450"/>
      <w:gridCol w:w="2462"/>
    </w:tblGrid>
    <w:tr w14:paraId="22C89F75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54" w:hRule="atLeast"/>
      </w:trPr>
      <w:tc>
        <w:tcPr>
          <w:tcW w:w="3015" w:type="pct"/>
          <w:vAlign w:val="bottom"/>
        </w:tcPr>
        <w:p w14:paraId="4C88C129">
          <w:pPr>
            <w:pStyle w:val="54"/>
          </w:pPr>
          <w:r>
            <w:t>Руководство пользователя ФПУМП. АРМ сотрудника МО</w:t>
          </w:r>
        </w:p>
      </w:tc>
      <w:sdt>
        <w:sdtPr>
          <w:rPr>
            <w:rStyle w:val="56"/>
          </w:rPr>
          <w:alias w:val="Аннотация"/>
          <w:id w:val="2083102139"/>
          <w:placeholder>
            <w:docPart w:val="A5D06B5BF5B04244A9315F6F9C373412"/>
          </w:placeholder>
          <w:dataBinding w:prefixMappings="xmlns:ns0='http://schemas.microsoft.com/office/2006/coverPageProps' " w:xpath="/ns0:CoverPageProperties[1]/ns0:Abstract[1]" w:storeItemID="{55AF091B-3C7A-41E3-B477-F2FDAA23CFDA}"/>
          <w:text/>
        </w:sdtPr>
        <w:sdtEndPr>
          <w:rPr>
            <w:rStyle w:val="56"/>
          </w:rPr>
        </w:sdtEndPr>
        <w:sdtContent>
          <w:tc>
            <w:tcPr>
              <w:tcW w:w="736" w:type="pct"/>
              <w:vAlign w:val="bottom"/>
            </w:tcPr>
            <w:p w14:paraId="356723FA">
              <w:pPr>
                <w:pStyle w:val="57"/>
              </w:pPr>
              <w:r>
                <w:rPr>
                  <w:rStyle w:val="56"/>
                </w:rPr>
                <w:t>версия 4.01</w:t>
              </w:r>
            </w:p>
          </w:tc>
        </w:sdtContent>
      </w:sdt>
      <w:tc>
        <w:tcPr>
          <w:tcW w:w="1249" w:type="pct"/>
          <w:vAlign w:val="bottom"/>
        </w:tcPr>
        <w:p w14:paraId="50DBFEBE">
          <w:pPr>
            <w:pStyle w:val="55"/>
          </w:pPr>
        </w:p>
      </w:tc>
    </w:tr>
  </w:tbl>
  <w:p w14:paraId="6793467F">
    <w:pPr>
      <w:pStyle w:val="7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0E3D46">
    <w:pPr>
      <w:pStyle w:val="5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-689610</wp:posOffset>
              </wp:positionH>
              <wp:positionV relativeFrom="paragraph">
                <wp:posOffset>-5203190</wp:posOffset>
              </wp:positionV>
              <wp:extent cx="394970" cy="5465445"/>
              <wp:effectExtent l="0" t="0" r="0" b="4445"/>
              <wp:wrapNone/>
              <wp:docPr id="1" name="Rectangl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94970" cy="5465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20ACE607">
                          <w:pPr>
                            <w:jc w:val="center"/>
                            <w:rPr>
                              <w:rFonts w:ascii="Times New Roman CYR" w:hAnsi="Times New Roman CYR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25" o:spid="_x0000_s1026" o:spt="1" style="position:absolute;left:0pt;margin-left:-54.3pt;margin-top:-409.7pt;height:430.35pt;width:31.1pt;z-index:251659264;mso-width-relative:page;mso-height-relative:page;" filled="f" stroked="f" coordsize="21600,21600" o:gfxdata="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9gWDS2QAAAAwBAAAPAAAAAAAAAAEAIAAAACIAAABkcnMv&#10;ZG93bnJldi54bWxQSwECFAAUAAAACACHTuJAj6DL6AICAAAaBAAADgAAAAAAAAABACAAAAAoAQAA&#10;ZHJzL2Uyb0RvYy54bWxQSwUGAAAAAAYABgBZAQAAnAUAAAAA&#10;">
              <v:fill on="f" focussize="0,0"/>
              <v:stroke on="f"/>
              <v:imagedata o:title=""/>
              <o:lock v:ext="edit" aspectratio="f"/>
              <v:textbox inset="1pt,1pt,1pt,1pt">
                <w:txbxContent>
                  <w:p w14:paraId="20ACE607">
                    <w:pPr>
                      <w:jc w:val="center"/>
                      <w:rPr>
                        <w:rFonts w:ascii="Times New Roman CYR" w:hAnsi="Times New Roman CYR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6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7392"/>
      <w:gridCol w:w="1594"/>
      <w:gridCol w:w="867"/>
    </w:tblGrid>
    <w:tr w14:paraId="5D3F6F60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54" w:hRule="atLeast"/>
      </w:trPr>
      <w:tc>
        <w:tcPr>
          <w:tcW w:w="3751" w:type="pct"/>
          <w:vAlign w:val="bottom"/>
        </w:tcPr>
        <w:p w14:paraId="50CE3AE4">
          <w:pPr>
            <w:pStyle w:val="54"/>
          </w:pPr>
          <w:r>
            <w:t>Руководство пользователя ФПУМП. АРМ сотрудника МО</w:t>
          </w:r>
        </w:p>
      </w:tc>
      <w:tc>
        <w:tcPr>
          <w:tcW w:w="809" w:type="pct"/>
          <w:vAlign w:val="bottom"/>
        </w:tcPr>
        <w:p w14:paraId="12B620C9">
          <w:pPr>
            <w:pStyle w:val="57"/>
          </w:pPr>
          <w:sdt>
            <w:sdtPr>
              <w:rPr>
                <w:rStyle w:val="56"/>
              </w:rPr>
              <w:alias w:val="Аннотация"/>
              <w:id w:val="-560868224"/>
              <w:placeholder>
                <w:docPart w:val="E404D537BA94416280DF42C4F4BE66E1"/>
              </w:placeholder>
              <w:dataBinding w:prefixMappings="xmlns:ns0='http://schemas.microsoft.com/office/2006/coverPageProps' " w:xpath="/ns0:CoverPageProperties[1]/ns0:Abstract[1]" w:storeItemID="{55AF091B-3C7A-41E3-B477-F2FDAA23CFDA}"/>
              <w:text/>
            </w:sdtPr>
            <w:sdtEndPr>
              <w:rPr>
                <w:rStyle w:val="56"/>
              </w:rPr>
            </w:sdtEndPr>
            <w:sdtContent>
              <w:r>
                <w:rPr>
                  <w:rStyle w:val="56"/>
                </w:rPr>
                <w:t>версия 4.01</w:t>
              </w:r>
            </w:sdtContent>
          </w:sdt>
        </w:p>
      </w:tc>
      <w:tc>
        <w:tcPr>
          <w:tcW w:w="440" w:type="pct"/>
          <w:vAlign w:val="bottom"/>
        </w:tcPr>
        <w:p w14:paraId="70147E55">
          <w:pPr>
            <w:pStyle w:val="55"/>
          </w:pPr>
          <w:r>
            <w:fldChar w:fldCharType="begin"/>
          </w:r>
          <w:r>
            <w:instrText xml:space="preserve">PAGE   \* MERGEFORMAT</w:instrText>
          </w:r>
          <w:r>
            <w:fldChar w:fldCharType="separate"/>
          </w:r>
          <w:r>
            <w:t>75</w:t>
          </w:r>
          <w:r>
            <w:fldChar w:fldCharType="end"/>
          </w:r>
        </w:p>
      </w:tc>
    </w:tr>
  </w:tbl>
  <w:p w14:paraId="65A09050">
    <w:pPr>
      <w:pStyle w:val="7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12">
    <w:p>
      <w:pPr>
        <w:spacing w:before="0" w:after="0" w:line="240" w:lineRule="auto"/>
      </w:pPr>
      <w:r>
        <w:separator/>
      </w:r>
    </w:p>
  </w:footnote>
  <w:footnote w:type="continuationSeparator" w:id="13">
    <w:p>
      <w:pPr>
        <w:spacing w:before="0" w:after="0" w:line="240" w:lineRule="auto"/>
      </w:pPr>
      <w:r>
        <w:continuationSeparator/>
      </w:r>
    </w:p>
  </w:footnote>
  <w:footnote w:id="0">
    <w:p w14:paraId="4B1A30AB">
      <w:pPr>
        <w:pStyle w:val="41"/>
      </w:pPr>
      <w:r>
        <w:rPr>
          <w:rStyle w:val="14"/>
        </w:rPr>
        <w:footnoteRef/>
      </w:r>
      <w:r>
        <w:t xml:space="preserve"> Международная статистическая классификация болезней и проблем, связанных со здоровьем (10-й пересмотр).</w:t>
      </w:r>
    </w:p>
  </w:footnote>
  <w:footnote w:id="1">
    <w:p w14:paraId="2C8D6DE7">
      <w:pPr>
        <w:pStyle w:val="102"/>
      </w:pPr>
      <w:r>
        <w:rPr>
          <w:rStyle w:val="14"/>
        </w:rPr>
        <w:footnoteRef/>
      </w:r>
      <w:r>
        <w:t xml:space="preserve"> Приложение к приказу Министерства здравоохранения Российской Федерации от 28 февраля 2019 г. № 108н «Об утверждении Правил обязательного медицинского страхования».</w:t>
      </w:r>
    </w:p>
  </w:footnote>
  <w:footnote w:id="2">
    <w:p w14:paraId="5274EA0B">
      <w:pPr>
        <w:pStyle w:val="41"/>
      </w:pPr>
      <w:r>
        <w:rPr>
          <w:rStyle w:val="14"/>
        </w:rPr>
        <w:footnoteRef/>
      </w:r>
      <w:r>
        <w:t xml:space="preserve"> </w:t>
      </w:r>
      <w:bookmarkStart w:id="1178" w:name="_Hlk150514681"/>
      <w:r>
        <w:t>По форме приложения 9 к Приказу Федерального фонда обязательного медицинского страхования от 10.09.2022 № 120н.</w:t>
      </w:r>
      <w:bookmarkEnd w:id="1178"/>
    </w:p>
  </w:footnote>
  <w:footnote w:id="3">
    <w:p w14:paraId="6A4386DA">
      <w:pPr>
        <w:pStyle w:val="41"/>
      </w:pPr>
      <w:r>
        <w:rPr>
          <w:rStyle w:val="14"/>
        </w:rPr>
        <w:footnoteRef/>
      </w:r>
      <w:r>
        <w:t xml:space="preserve"> По форме приложения 2 и приложения 3 к Приказу Федерального фонда обязательного медицинского страхования от 10.09.2022 № 120н.</w:t>
      </w:r>
    </w:p>
  </w:footnote>
  <w:footnote w:id="4">
    <w:p w14:paraId="3B9957C0">
      <w:pPr>
        <w:pStyle w:val="41"/>
      </w:pPr>
      <w:r>
        <w:rPr>
          <w:rStyle w:val="14"/>
        </w:rPr>
        <w:footnoteRef/>
      </w:r>
      <w:r>
        <w:t xml:space="preserve"> Код, наименование и иерархия показателей медицинской помощи сформированы на основании документа ФОМС «Методические рекомендации по использованию кода медицинской классификации (КМК)».</w:t>
      </w:r>
    </w:p>
  </w:footnote>
  <w:footnote w:id="5">
    <w:p w14:paraId="645694FF">
      <w:pPr>
        <w:pStyle w:val="102"/>
      </w:pPr>
      <w:r>
        <w:rPr>
          <w:rStyle w:val="14"/>
        </w:rPr>
        <w:footnoteRef/>
      </w:r>
      <w:r>
        <w:t xml:space="preserve"> Правила обязательного медицинского страхования. Приложение к приказу Министерства здравоохранения Российской Федерации от 28 февраля 2019 г. № 108н «Об утверждении Правил обязательного медицинского страхования» (в ред. Приказа Минздрава России от 13.12.2022 № 789н).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6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4629"/>
      <w:gridCol w:w="895"/>
      <w:gridCol w:w="4329"/>
    </w:tblGrid>
    <w:tr w14:paraId="0DC16754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54" w:hRule="atLeast"/>
      </w:trPr>
      <w:sdt>
        <w:sdtPr>
          <w:alias w:val="Примечания"/>
          <w:id w:val="1367182103"/>
          <w:placeholder>
            <w:docPart w:val="855090C1E26F44B89DF0A3EE219EB603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2349" w:type="pct"/>
              <w:vAlign w:val="center"/>
            </w:tcPr>
            <w:p w14:paraId="4C5502CC">
              <w:pPr>
                <w:pStyle w:val="54"/>
              </w:pPr>
              <w:r>
                <w:t>1027700198767.425000.ФПУМП.2026.И3-2-М</w:t>
              </w:r>
            </w:p>
          </w:tc>
        </w:sdtContent>
      </w:sdt>
      <w:tc>
        <w:tcPr>
          <w:tcW w:w="454" w:type="pct"/>
          <w:vAlign w:val="center"/>
        </w:tcPr>
        <w:p w14:paraId="745936BB">
          <w:pPr>
            <w:pStyle w:val="57"/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t>3</w:t>
          </w:r>
          <w:r>
            <w:fldChar w:fldCharType="end"/>
          </w:r>
        </w:p>
      </w:tc>
      <w:tc>
        <w:tcPr>
          <w:tcW w:w="2197" w:type="pct"/>
          <w:vAlign w:val="center"/>
        </w:tcPr>
        <w:p w14:paraId="1D958FFC">
          <w:pPr>
            <w:pStyle w:val="54"/>
            <w:jc w:val="center"/>
          </w:pPr>
        </w:p>
      </w:tc>
    </w:tr>
  </w:tbl>
  <w:p w14:paraId="4FA5BE82">
    <w:pPr>
      <w:pStyle w:val="5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6"/>
      <w:tblW w:w="5000" w:type="pct"/>
      <w:tblInd w:w="0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9853"/>
    </w:tblGrid>
    <w:tr w14:paraId="10A8C3D9"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794" w:hRule="atLeast"/>
      </w:trPr>
      <w:tc>
        <w:tcPr>
          <w:tcW w:w="5000" w:type="pct"/>
          <w:vAlign w:val="center"/>
        </w:tcPr>
        <w:p w14:paraId="534B73DD">
          <w:pPr>
            <w:pStyle w:val="57"/>
          </w:pPr>
          <w:r>
            <w:t>ФЕДЕРАЛЬНЫЙ ФОНД ОБЯЗАТЕЛЬНОГО МЕДИЦИНСКОГО СТРАХОВАНИЯ</w:t>
          </w:r>
        </w:p>
      </w:tc>
    </w:tr>
  </w:tbl>
  <w:p w14:paraId="356E1826">
    <w:pPr>
      <w:pStyle w:val="7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86A569">
    <w:pPr>
      <w:pStyle w:val="8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7BE4FBE"/>
    <w:multiLevelType w:val="multilevel"/>
    <w:tmpl w:val="27BE4FBE"/>
    <w:lvl w:ilvl="0" w:tentative="0">
      <w:start w:val="1"/>
      <w:numFmt w:val="decimal"/>
      <w:pStyle w:val="50"/>
      <w:suff w:val="space"/>
      <w:lvlText w:val="%1)"/>
      <w:lvlJc w:val="left"/>
      <w:pPr>
        <w:tabs>
          <w:tab w:val="left" w:pos="0"/>
        </w:tabs>
        <w:ind w:left="0" w:firstLine="709"/>
      </w:pPr>
      <w:rPr>
        <w:rFonts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2149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2869" w:hanging="180"/>
      </w:p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3589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4309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5029" w:hanging="180"/>
      </w:p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5749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6469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7189" w:hanging="180"/>
      </w:pPr>
    </w:lvl>
  </w:abstractNum>
  <w:abstractNum w:abstractNumId="1">
    <w:nsid w:val="2CDA5549"/>
    <w:multiLevelType w:val="multilevel"/>
    <w:tmpl w:val="2CDA5549"/>
    <w:lvl w:ilvl="0" w:tentative="0">
      <w:start w:val="0"/>
      <w:numFmt w:val="bullet"/>
      <w:pStyle w:val="77"/>
      <w:suff w:val="space"/>
      <w:lvlText w:val="•"/>
      <w:lvlJc w:val="left"/>
      <w:pPr>
        <w:ind w:left="284" w:firstLine="68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30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8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5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52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9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6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4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8127" w:hanging="360"/>
      </w:pPr>
      <w:rPr>
        <w:rFonts w:hint="default" w:ascii="Wingdings" w:hAnsi="Wingdings"/>
      </w:rPr>
    </w:lvl>
  </w:abstractNum>
  <w:abstractNum w:abstractNumId="2">
    <w:nsid w:val="350F41AA"/>
    <w:multiLevelType w:val="multilevel"/>
    <w:tmpl w:val="350F41AA"/>
    <w:lvl w:ilvl="0" w:tentative="0">
      <w:start w:val="1"/>
      <w:numFmt w:val="bullet"/>
      <w:pStyle w:val="51"/>
      <w:suff w:val="space"/>
      <w:lvlText w:val=""/>
      <w:lvlJc w:val="left"/>
      <w:pPr>
        <w:ind w:left="2552" w:firstLine="709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374D4C1B"/>
    <w:multiLevelType w:val="multilevel"/>
    <w:tmpl w:val="374D4C1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pStyle w:val="6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4">
    <w:nsid w:val="37DA6C72"/>
    <w:multiLevelType w:val="multilevel"/>
    <w:tmpl w:val="37DA6C72"/>
    <w:lvl w:ilvl="0" w:tentative="0">
      <w:start w:val="1"/>
      <w:numFmt w:val="bullet"/>
      <w:pStyle w:val="52"/>
      <w:suff w:val="space"/>
      <w:lvlText w:val=""/>
      <w:lvlJc w:val="left"/>
      <w:pPr>
        <w:tabs>
          <w:tab w:val="left" w:pos="0"/>
        </w:tabs>
        <w:ind w:left="1191" w:hanging="227"/>
      </w:pPr>
      <w:rPr>
        <w:rFonts w:hint="default" w:ascii="Symbol" w:hAnsi="Symbol" w:cs="Symbol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hint="default" w:ascii="Wingdings" w:hAnsi="Wingdings" w:cs="Wingdings"/>
      </w:rPr>
    </w:lvl>
  </w:abstractNum>
  <w:abstractNum w:abstractNumId="5">
    <w:nsid w:val="43525C91"/>
    <w:multiLevelType w:val="multilevel"/>
    <w:tmpl w:val="43525C91"/>
    <w:lvl w:ilvl="0" w:tentative="0">
      <w:start w:val="1"/>
      <w:numFmt w:val="decimal"/>
      <w:pStyle w:val="37"/>
      <w:suff w:val="space"/>
      <w:lvlText w:val="%1"/>
      <w:lvlJc w:val="left"/>
      <w:pPr>
        <w:ind w:left="0" w:firstLine="709"/>
      </w:pPr>
      <w:rPr>
        <w:rFonts w:hint="default" w:ascii="PT Astra Serif" w:hAnsi="PT Astra Serif"/>
        <w:b/>
        <w:i w:val="0"/>
        <w:color w:val="auto"/>
        <w:sz w:val="28"/>
      </w:rPr>
    </w:lvl>
    <w:lvl w:ilvl="1" w:tentative="0">
      <w:start w:val="1"/>
      <w:numFmt w:val="decimal"/>
      <w:pStyle w:val="38"/>
      <w:suff w:val="space"/>
      <w:lvlText w:val="%1.%2"/>
      <w:lvlJc w:val="left"/>
      <w:pPr>
        <w:ind w:left="0" w:firstLine="709"/>
      </w:pPr>
      <w:rPr>
        <w:rFonts w:hint="default" w:ascii="PT Astra Serif" w:hAnsi="PT Astra Serif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6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pStyle w:val="39"/>
      <w:suff w:val="space"/>
      <w:lvlText w:val="%1.%2.%3"/>
      <w:lvlJc w:val="left"/>
      <w:pPr>
        <w:ind w:left="143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3" w:tentative="0">
      <w:start w:val="1"/>
      <w:numFmt w:val="decimal"/>
      <w:pStyle w:val="40"/>
      <w:suff w:val="space"/>
      <w:lvlText w:val="%1.%2.%3.%4"/>
      <w:lvlJc w:val="left"/>
      <w:pPr>
        <w:ind w:left="1" w:firstLine="709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5" w:tentative="0">
      <w:start w:val="1"/>
      <w:numFmt w:val="decimal"/>
      <w:lvlText w:val="%1.%2.%3.%4.%5.%6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709"/>
        </w:tabs>
        <w:ind w:left="0" w:firstLine="709"/>
      </w:pPr>
      <w:rPr>
        <w:rFonts w:hint="default"/>
      </w:rPr>
    </w:lvl>
  </w:abstractNum>
  <w:abstractNum w:abstractNumId="6">
    <w:nsid w:val="43A131FA"/>
    <w:multiLevelType w:val="multilevel"/>
    <w:tmpl w:val="43A131FA"/>
    <w:lvl w:ilvl="0" w:tentative="0">
      <w:start w:val="1"/>
      <w:numFmt w:val="bullet"/>
      <w:pStyle w:val="73"/>
      <w:suff w:val="space"/>
      <w:lvlText w:val="•"/>
      <w:lvlJc w:val="left"/>
      <w:pPr>
        <w:ind w:left="1361" w:hanging="170"/>
      </w:pPr>
      <w:rPr>
        <w:rFonts w:hint="default" w:ascii="PT Astra Serif" w:hAnsi="PT Astra Serif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7">
    <w:nsid w:val="4E32095F"/>
    <w:multiLevelType w:val="multilevel"/>
    <w:tmpl w:val="4E32095F"/>
    <w:lvl w:ilvl="0" w:tentative="0">
      <w:start w:val="1"/>
      <w:numFmt w:val="bullet"/>
      <w:suff w:val="space"/>
      <w:lvlText w:val="­"/>
      <w:lvlJc w:val="left"/>
      <w:pPr>
        <w:ind w:left="0" w:firstLine="709"/>
      </w:pPr>
      <w:rPr>
        <w:rFonts w:hint="default" w:ascii="Courier New" w:hAnsi="Courier New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54225861"/>
    <w:multiLevelType w:val="multilevel"/>
    <w:tmpl w:val="54225861"/>
    <w:lvl w:ilvl="0" w:tentative="0">
      <w:start w:val="1"/>
      <w:numFmt w:val="decimal"/>
      <w:pStyle w:val="2"/>
      <w:lvlText w:val="%1"/>
      <w:lvlJc w:val="left"/>
      <w:pPr>
        <w:tabs>
          <w:tab w:val="left" w:pos="360"/>
        </w:tabs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pStyle w:val="3"/>
      <w:lvlText w:val="%1.%2"/>
      <w:lvlJc w:val="left"/>
      <w:pPr>
        <w:tabs>
          <w:tab w:val="left" w:pos="1440"/>
        </w:tabs>
        <w:ind w:left="720" w:firstLine="0"/>
      </w:pPr>
      <w:rPr>
        <w:rFonts w:hint="default" w:ascii="Times New Roman" w:hAnsi="Times New Roman" w:cs="Times New Roman"/>
      </w:rPr>
    </w:lvl>
    <w:lvl w:ilvl="2" w:tentative="0">
      <w:start w:val="1"/>
      <w:numFmt w:val="decimal"/>
      <w:pStyle w:val="4"/>
      <w:lvlText w:val="%1.%2.%3"/>
      <w:lvlJc w:val="left"/>
      <w:rPr>
        <w:rFonts w:hint="default" w:ascii="Times New Roman" w:hAnsi="Times New Roman" w:cs="Times New Roman"/>
        <w:color w:val="auto"/>
      </w:rPr>
    </w:lvl>
    <w:lvl w:ilvl="3" w:tentative="0">
      <w:start w:val="1"/>
      <w:numFmt w:val="decimal"/>
      <w:pStyle w:val="5"/>
      <w:lvlText w:val="%1.%2.%3.%4"/>
      <w:lvlJc w:val="left"/>
      <w:pPr>
        <w:tabs>
          <w:tab w:val="left" w:pos="1800"/>
        </w:tabs>
        <w:ind w:left="720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2160"/>
        </w:tabs>
        <w:ind w:left="720" w:firstLine="0"/>
      </w:pPr>
      <w:rPr>
        <w:rFonts w:hint="default"/>
      </w:rPr>
    </w:lvl>
    <w:lvl w:ilvl="5" w:tentative="0">
      <w:start w:val="1"/>
      <w:numFmt w:val="decimal"/>
      <w:pStyle w:val="7"/>
      <w:lvlText w:val="%1.%2.%3.%4.%5.%6"/>
      <w:lvlJc w:val="left"/>
      <w:pPr>
        <w:tabs>
          <w:tab w:val="left" w:pos="2651"/>
        </w:tabs>
        <w:ind w:left="851" w:firstLine="0"/>
      </w:pPr>
      <w:rPr>
        <w:rFonts w:hint="default"/>
      </w:r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2520"/>
        </w:tabs>
        <w:ind w:left="720" w:firstLine="0"/>
      </w:pPr>
      <w:rPr>
        <w:rFonts w:hint="default"/>
      </w:rPr>
    </w:lvl>
    <w:lvl w:ilvl="7" w:tentative="0">
      <w:start w:val="1"/>
      <w:numFmt w:val="decimal"/>
      <w:pStyle w:val="9"/>
      <w:lvlText w:val="%1.%2.%3.%4.%5.%6.%7.%8"/>
      <w:lvlJc w:val="left"/>
      <w:pPr>
        <w:tabs>
          <w:tab w:val="left" w:pos="2880"/>
        </w:tabs>
        <w:ind w:left="720" w:firstLine="0"/>
      </w:pPr>
      <w:rPr>
        <w:rFonts w:hint="default"/>
      </w:rPr>
    </w:lvl>
    <w:lvl w:ilvl="8" w:tentative="0">
      <w:start w:val="1"/>
      <w:numFmt w:val="decimal"/>
      <w:pStyle w:val="10"/>
      <w:lvlText w:val="%1.%2.%3.%4.%5.%6.%7.%8.%9"/>
      <w:lvlJc w:val="left"/>
      <w:pPr>
        <w:tabs>
          <w:tab w:val="left" w:pos="3240"/>
        </w:tabs>
        <w:ind w:left="720" w:firstLine="0"/>
      </w:pPr>
      <w:rPr>
        <w:rFonts w:hint="default"/>
      </w:rPr>
    </w:lvl>
  </w:abstractNum>
  <w:abstractNum w:abstractNumId="9">
    <w:nsid w:val="5E1356EF"/>
    <w:multiLevelType w:val="multilevel"/>
    <w:tmpl w:val="5E1356EF"/>
    <w:lvl w:ilvl="0" w:tentative="0">
      <w:start w:val="1"/>
      <w:numFmt w:val="decimal"/>
      <w:suff w:val="space"/>
      <w:lvlText w:val="%1)"/>
      <w:lvlJc w:val="left"/>
      <w:pPr>
        <w:ind w:left="0" w:firstLine="709"/>
      </w:p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2149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2869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3589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4309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5029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5749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6469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7189" w:hanging="180"/>
      </w:pPr>
      <w:rPr>
        <w:rFonts w:hint="default"/>
      </w:rPr>
    </w:lvl>
  </w:abstractNum>
  <w:abstractNum w:abstractNumId="10">
    <w:nsid w:val="64C40B9D"/>
    <w:multiLevelType w:val="multilevel"/>
    <w:tmpl w:val="64C40B9D"/>
    <w:lvl w:ilvl="0" w:tentative="0">
      <w:start w:val="0"/>
      <w:numFmt w:val="bullet"/>
      <w:pStyle w:val="87"/>
      <w:suff w:val="space"/>
      <w:lvlText w:val=""/>
      <w:lvlJc w:val="left"/>
      <w:pPr>
        <w:ind w:left="227" w:hanging="227"/>
      </w:pPr>
      <w:rPr>
        <w:rFonts w:hint="default" w:ascii="Symbol" w:hAnsi="Symbol" w:cs="Times New Roman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>
    <w:nsid w:val="6B3768F7"/>
    <w:multiLevelType w:val="multilevel"/>
    <w:tmpl w:val="6B3768F7"/>
    <w:lvl w:ilvl="0" w:tentative="0">
      <w:start w:val="1"/>
      <w:numFmt w:val="russianUpper"/>
      <w:suff w:val="space"/>
      <w:lvlText w:val="Приложение %1"/>
      <w:lvlJc w:val="left"/>
      <w:pPr>
        <w:ind w:left="0" w:firstLine="0"/>
      </w:pPr>
      <w:rPr>
        <w:rFonts w:hint="default" w:ascii="PT Astra Serif" w:hAnsi="PT Astra Serif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decimal"/>
      <w:suff w:val="space"/>
      <w:lvlText w:val="%1.%2"/>
      <w:lvlJc w:val="left"/>
      <w:pPr>
        <w:ind w:left="0" w:firstLine="709"/>
      </w:pPr>
      <w:rPr>
        <w:rFonts w:hint="default" w:ascii="PT Astra Serif" w:hAnsi="PT Astra Serif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decimal"/>
      <w:suff w:val="space"/>
      <w:lvlText w:val="%1.%2.%3.%4.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4" w:tentative="0">
      <w:start w:val="1"/>
      <w:numFmt w:val="decimal"/>
      <w:suff w:val="space"/>
      <w:lvlText w:val="%1.%2.%3.%4.%5.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5" w:tentative="0">
      <w:start w:val="1"/>
      <w:numFmt w:val="decimal"/>
      <w:lvlText w:val="%1.%2.%3.%4.%5.%6."/>
      <w:lvlJc w:val="left"/>
      <w:pPr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0" w:firstLine="709"/>
      </w:pPr>
      <w:rPr>
        <w:rFonts w:hint="default"/>
      </w:rPr>
    </w:lvl>
  </w:abstractNum>
  <w:abstractNum w:abstractNumId="12">
    <w:nsid w:val="6BAB4450"/>
    <w:multiLevelType w:val="multilevel"/>
    <w:tmpl w:val="6BAB4450"/>
    <w:lvl w:ilvl="0" w:tentative="0">
      <w:start w:val="1"/>
      <w:numFmt w:val="bullet"/>
      <w:pStyle w:val="97"/>
      <w:suff w:val="space"/>
      <w:lvlText w:val="•"/>
      <w:lvlJc w:val="left"/>
      <w:pPr>
        <w:ind w:left="510" w:hanging="170"/>
      </w:pPr>
      <w:rPr>
        <w:rFonts w:hint="default" w:ascii="PT Astra Serif" w:hAnsi="PT Astra Serif"/>
      </w:rPr>
    </w:lvl>
    <w:lvl w:ilvl="1" w:tentative="0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num w:numId="1">
    <w:abstractNumId w:val="8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4"/>
  </w:num>
  <w:num w:numId="7">
    <w:abstractNumId w:val="6"/>
  </w:num>
  <w:num w:numId="8">
    <w:abstractNumId w:val="1"/>
  </w:num>
  <w:num w:numId="9">
    <w:abstractNumId w:val="10"/>
  </w:num>
  <w:num w:numId="10">
    <w:abstractNumId w:val="12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7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</w:num>
  <w:num w:numId="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08"/>
  <w:characterSpacingControl w:val="doNotCompress"/>
  <w:footnotePr>
    <w:numRestart w:val="eachPage"/>
    <w:footnote w:id="12"/>
    <w:footnote w:id="13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2757"/>
    <w:rsid w:val="00002031"/>
    <w:rsid w:val="0000679A"/>
    <w:rsid w:val="000074C7"/>
    <w:rsid w:val="00011F00"/>
    <w:rsid w:val="00013D7A"/>
    <w:rsid w:val="000149E3"/>
    <w:rsid w:val="000157FE"/>
    <w:rsid w:val="00020D7E"/>
    <w:rsid w:val="0002448E"/>
    <w:rsid w:val="00024A3B"/>
    <w:rsid w:val="00034A9E"/>
    <w:rsid w:val="00037282"/>
    <w:rsid w:val="00037660"/>
    <w:rsid w:val="00037B1F"/>
    <w:rsid w:val="000409A2"/>
    <w:rsid w:val="00041EBC"/>
    <w:rsid w:val="00043A33"/>
    <w:rsid w:val="00045C1C"/>
    <w:rsid w:val="0005058C"/>
    <w:rsid w:val="00050BC9"/>
    <w:rsid w:val="00051EB6"/>
    <w:rsid w:val="0005223C"/>
    <w:rsid w:val="00055319"/>
    <w:rsid w:val="00060C61"/>
    <w:rsid w:val="00063DB7"/>
    <w:rsid w:val="00067D25"/>
    <w:rsid w:val="0007011E"/>
    <w:rsid w:val="00070197"/>
    <w:rsid w:val="0007242C"/>
    <w:rsid w:val="00072833"/>
    <w:rsid w:val="000740CC"/>
    <w:rsid w:val="00074523"/>
    <w:rsid w:val="00074AE3"/>
    <w:rsid w:val="000771DE"/>
    <w:rsid w:val="00084EB6"/>
    <w:rsid w:val="00086530"/>
    <w:rsid w:val="000865CC"/>
    <w:rsid w:val="00092A72"/>
    <w:rsid w:val="00092FE0"/>
    <w:rsid w:val="000939DF"/>
    <w:rsid w:val="00094124"/>
    <w:rsid w:val="000976D1"/>
    <w:rsid w:val="000A0094"/>
    <w:rsid w:val="000A114A"/>
    <w:rsid w:val="000A14FA"/>
    <w:rsid w:val="000A17F7"/>
    <w:rsid w:val="000A2E2C"/>
    <w:rsid w:val="000A4E4C"/>
    <w:rsid w:val="000A7A89"/>
    <w:rsid w:val="000B0EE4"/>
    <w:rsid w:val="000B2779"/>
    <w:rsid w:val="000B6713"/>
    <w:rsid w:val="000B7547"/>
    <w:rsid w:val="000C0956"/>
    <w:rsid w:val="000C0F4B"/>
    <w:rsid w:val="000C0F62"/>
    <w:rsid w:val="000C143F"/>
    <w:rsid w:val="000C1F87"/>
    <w:rsid w:val="000C3AC2"/>
    <w:rsid w:val="000C483D"/>
    <w:rsid w:val="000C7B31"/>
    <w:rsid w:val="000D05C1"/>
    <w:rsid w:val="000D2871"/>
    <w:rsid w:val="000D2A0F"/>
    <w:rsid w:val="000D2F75"/>
    <w:rsid w:val="000D3A3F"/>
    <w:rsid w:val="000D4F4D"/>
    <w:rsid w:val="000D51AA"/>
    <w:rsid w:val="000E3C59"/>
    <w:rsid w:val="000E4451"/>
    <w:rsid w:val="000E4675"/>
    <w:rsid w:val="000E4FE1"/>
    <w:rsid w:val="000E50FB"/>
    <w:rsid w:val="000E51CD"/>
    <w:rsid w:val="000E664B"/>
    <w:rsid w:val="000E7C22"/>
    <w:rsid w:val="000F0C90"/>
    <w:rsid w:val="000F1455"/>
    <w:rsid w:val="000F1778"/>
    <w:rsid w:val="000F19A3"/>
    <w:rsid w:val="000F46FD"/>
    <w:rsid w:val="000F4FD9"/>
    <w:rsid w:val="000F5736"/>
    <w:rsid w:val="000F7A01"/>
    <w:rsid w:val="000F7CCF"/>
    <w:rsid w:val="00102510"/>
    <w:rsid w:val="0010543D"/>
    <w:rsid w:val="00106C3B"/>
    <w:rsid w:val="00110B21"/>
    <w:rsid w:val="00112075"/>
    <w:rsid w:val="00112E51"/>
    <w:rsid w:val="00115269"/>
    <w:rsid w:val="00116D74"/>
    <w:rsid w:val="00116DF6"/>
    <w:rsid w:val="0012426B"/>
    <w:rsid w:val="001246AC"/>
    <w:rsid w:val="00125914"/>
    <w:rsid w:val="00125A28"/>
    <w:rsid w:val="00125DD4"/>
    <w:rsid w:val="00130ED3"/>
    <w:rsid w:val="001325CC"/>
    <w:rsid w:val="00134BE3"/>
    <w:rsid w:val="0013652E"/>
    <w:rsid w:val="001373BC"/>
    <w:rsid w:val="00141765"/>
    <w:rsid w:val="001419D9"/>
    <w:rsid w:val="00147555"/>
    <w:rsid w:val="00150B1B"/>
    <w:rsid w:val="00151943"/>
    <w:rsid w:val="00151E80"/>
    <w:rsid w:val="00155458"/>
    <w:rsid w:val="00157EFC"/>
    <w:rsid w:val="001608D8"/>
    <w:rsid w:val="0016395B"/>
    <w:rsid w:val="001642D5"/>
    <w:rsid w:val="00164A90"/>
    <w:rsid w:val="0016569F"/>
    <w:rsid w:val="00166ADD"/>
    <w:rsid w:val="001711A5"/>
    <w:rsid w:val="00172DA0"/>
    <w:rsid w:val="00175410"/>
    <w:rsid w:val="00177090"/>
    <w:rsid w:val="001772F0"/>
    <w:rsid w:val="00181C85"/>
    <w:rsid w:val="001843A7"/>
    <w:rsid w:val="00186D34"/>
    <w:rsid w:val="001923FE"/>
    <w:rsid w:val="00196256"/>
    <w:rsid w:val="001A1C87"/>
    <w:rsid w:val="001A68CB"/>
    <w:rsid w:val="001A7C7C"/>
    <w:rsid w:val="001B2A41"/>
    <w:rsid w:val="001B2D4C"/>
    <w:rsid w:val="001B325B"/>
    <w:rsid w:val="001B419B"/>
    <w:rsid w:val="001B5078"/>
    <w:rsid w:val="001B6A68"/>
    <w:rsid w:val="001C0D1C"/>
    <w:rsid w:val="001C6025"/>
    <w:rsid w:val="001C7D2C"/>
    <w:rsid w:val="001E3394"/>
    <w:rsid w:val="001E5125"/>
    <w:rsid w:val="001E5331"/>
    <w:rsid w:val="001E5673"/>
    <w:rsid w:val="001E798D"/>
    <w:rsid w:val="001F1D0E"/>
    <w:rsid w:val="001F2C84"/>
    <w:rsid w:val="0020127E"/>
    <w:rsid w:val="00204D58"/>
    <w:rsid w:val="00205178"/>
    <w:rsid w:val="00205BF4"/>
    <w:rsid w:val="00206907"/>
    <w:rsid w:val="002079F9"/>
    <w:rsid w:val="00210E14"/>
    <w:rsid w:val="00213648"/>
    <w:rsid w:val="00216B5E"/>
    <w:rsid w:val="002171CC"/>
    <w:rsid w:val="002203BA"/>
    <w:rsid w:val="002207C8"/>
    <w:rsid w:val="00222A74"/>
    <w:rsid w:val="00223721"/>
    <w:rsid w:val="00224A2A"/>
    <w:rsid w:val="0022594B"/>
    <w:rsid w:val="0023074A"/>
    <w:rsid w:val="002318B7"/>
    <w:rsid w:val="0023554E"/>
    <w:rsid w:val="00236904"/>
    <w:rsid w:val="002475F0"/>
    <w:rsid w:val="00247FDA"/>
    <w:rsid w:val="002500FB"/>
    <w:rsid w:val="00253A00"/>
    <w:rsid w:val="00255202"/>
    <w:rsid w:val="002570C3"/>
    <w:rsid w:val="002609C4"/>
    <w:rsid w:val="00260A92"/>
    <w:rsid w:val="00262D46"/>
    <w:rsid w:val="00262DB1"/>
    <w:rsid w:val="00263F80"/>
    <w:rsid w:val="00267802"/>
    <w:rsid w:val="002701ED"/>
    <w:rsid w:val="002703DC"/>
    <w:rsid w:val="002708B8"/>
    <w:rsid w:val="00271E47"/>
    <w:rsid w:val="00272FD8"/>
    <w:rsid w:val="00274D5A"/>
    <w:rsid w:val="00276DF3"/>
    <w:rsid w:val="00282AAF"/>
    <w:rsid w:val="002841D2"/>
    <w:rsid w:val="00284C61"/>
    <w:rsid w:val="00286EC8"/>
    <w:rsid w:val="002973BB"/>
    <w:rsid w:val="002A3C5D"/>
    <w:rsid w:val="002A4BF1"/>
    <w:rsid w:val="002A4EB8"/>
    <w:rsid w:val="002A5242"/>
    <w:rsid w:val="002A5639"/>
    <w:rsid w:val="002A656C"/>
    <w:rsid w:val="002A7B53"/>
    <w:rsid w:val="002B1FC1"/>
    <w:rsid w:val="002B3F9F"/>
    <w:rsid w:val="002B58BB"/>
    <w:rsid w:val="002B692E"/>
    <w:rsid w:val="002C52ED"/>
    <w:rsid w:val="002D242D"/>
    <w:rsid w:val="002D280C"/>
    <w:rsid w:val="002D67EB"/>
    <w:rsid w:val="002E0ADD"/>
    <w:rsid w:val="002E0E8D"/>
    <w:rsid w:val="002E1669"/>
    <w:rsid w:val="002E26ED"/>
    <w:rsid w:val="002E2DF2"/>
    <w:rsid w:val="002E393D"/>
    <w:rsid w:val="002E538F"/>
    <w:rsid w:val="002E6707"/>
    <w:rsid w:val="002F0BD4"/>
    <w:rsid w:val="002F3DBE"/>
    <w:rsid w:val="002F4487"/>
    <w:rsid w:val="002F522B"/>
    <w:rsid w:val="002F5AC5"/>
    <w:rsid w:val="002F6935"/>
    <w:rsid w:val="00300E27"/>
    <w:rsid w:val="0030124D"/>
    <w:rsid w:val="00302363"/>
    <w:rsid w:val="00303887"/>
    <w:rsid w:val="00303F04"/>
    <w:rsid w:val="003041E1"/>
    <w:rsid w:val="00305A7F"/>
    <w:rsid w:val="0030629F"/>
    <w:rsid w:val="0030694A"/>
    <w:rsid w:val="00306D98"/>
    <w:rsid w:val="00307EF7"/>
    <w:rsid w:val="0031036A"/>
    <w:rsid w:val="00310392"/>
    <w:rsid w:val="00310D8D"/>
    <w:rsid w:val="00311DD2"/>
    <w:rsid w:val="003125E1"/>
    <w:rsid w:val="003167D6"/>
    <w:rsid w:val="00320C12"/>
    <w:rsid w:val="00321D28"/>
    <w:rsid w:val="00322905"/>
    <w:rsid w:val="003243E5"/>
    <w:rsid w:val="00324F68"/>
    <w:rsid w:val="00327277"/>
    <w:rsid w:val="00330E0B"/>
    <w:rsid w:val="00332B4A"/>
    <w:rsid w:val="00332DA8"/>
    <w:rsid w:val="003338CE"/>
    <w:rsid w:val="00334A4F"/>
    <w:rsid w:val="00337C5F"/>
    <w:rsid w:val="00342354"/>
    <w:rsid w:val="00343252"/>
    <w:rsid w:val="00344B82"/>
    <w:rsid w:val="00344DBB"/>
    <w:rsid w:val="00345FB7"/>
    <w:rsid w:val="00346493"/>
    <w:rsid w:val="00347DE5"/>
    <w:rsid w:val="00350E02"/>
    <w:rsid w:val="00353F8C"/>
    <w:rsid w:val="00356594"/>
    <w:rsid w:val="003573C0"/>
    <w:rsid w:val="00361BFE"/>
    <w:rsid w:val="00362637"/>
    <w:rsid w:val="003639FC"/>
    <w:rsid w:val="00364C4C"/>
    <w:rsid w:val="0036665F"/>
    <w:rsid w:val="00371471"/>
    <w:rsid w:val="00372082"/>
    <w:rsid w:val="00372A9D"/>
    <w:rsid w:val="003756A4"/>
    <w:rsid w:val="00377D6C"/>
    <w:rsid w:val="003823C0"/>
    <w:rsid w:val="003837A4"/>
    <w:rsid w:val="00387055"/>
    <w:rsid w:val="00387567"/>
    <w:rsid w:val="00387DC9"/>
    <w:rsid w:val="00390E50"/>
    <w:rsid w:val="00391688"/>
    <w:rsid w:val="00393D02"/>
    <w:rsid w:val="00397CE0"/>
    <w:rsid w:val="003A3240"/>
    <w:rsid w:val="003A448F"/>
    <w:rsid w:val="003A4BD0"/>
    <w:rsid w:val="003A4DBF"/>
    <w:rsid w:val="003A5C80"/>
    <w:rsid w:val="003A5F0D"/>
    <w:rsid w:val="003A6239"/>
    <w:rsid w:val="003A63CF"/>
    <w:rsid w:val="003A7B7E"/>
    <w:rsid w:val="003B1775"/>
    <w:rsid w:val="003B2C5E"/>
    <w:rsid w:val="003B420F"/>
    <w:rsid w:val="003C092F"/>
    <w:rsid w:val="003C4027"/>
    <w:rsid w:val="003C449E"/>
    <w:rsid w:val="003C4C15"/>
    <w:rsid w:val="003C4DBD"/>
    <w:rsid w:val="003C51A0"/>
    <w:rsid w:val="003C6C1E"/>
    <w:rsid w:val="003C7C47"/>
    <w:rsid w:val="003D22C8"/>
    <w:rsid w:val="003D2C88"/>
    <w:rsid w:val="003D4388"/>
    <w:rsid w:val="003D6AF0"/>
    <w:rsid w:val="003E226C"/>
    <w:rsid w:val="003E5218"/>
    <w:rsid w:val="003E5E67"/>
    <w:rsid w:val="003E67FF"/>
    <w:rsid w:val="003E7777"/>
    <w:rsid w:val="003F0037"/>
    <w:rsid w:val="003F1212"/>
    <w:rsid w:val="003F3711"/>
    <w:rsid w:val="003F3912"/>
    <w:rsid w:val="003F673C"/>
    <w:rsid w:val="003F70D9"/>
    <w:rsid w:val="004053D3"/>
    <w:rsid w:val="004067C0"/>
    <w:rsid w:val="00407652"/>
    <w:rsid w:val="00411B95"/>
    <w:rsid w:val="00413331"/>
    <w:rsid w:val="004152F6"/>
    <w:rsid w:val="004153E1"/>
    <w:rsid w:val="0042216F"/>
    <w:rsid w:val="00422B09"/>
    <w:rsid w:val="00424C0F"/>
    <w:rsid w:val="00433F41"/>
    <w:rsid w:val="00434315"/>
    <w:rsid w:val="00434A94"/>
    <w:rsid w:val="00437722"/>
    <w:rsid w:val="0044096E"/>
    <w:rsid w:val="00440DFC"/>
    <w:rsid w:val="00441450"/>
    <w:rsid w:val="00441DB5"/>
    <w:rsid w:val="00446A45"/>
    <w:rsid w:val="0044729B"/>
    <w:rsid w:val="004473AD"/>
    <w:rsid w:val="00450F6D"/>
    <w:rsid w:val="00451041"/>
    <w:rsid w:val="0045223E"/>
    <w:rsid w:val="004535A3"/>
    <w:rsid w:val="00454F2A"/>
    <w:rsid w:val="00456BB8"/>
    <w:rsid w:val="00457759"/>
    <w:rsid w:val="0046008E"/>
    <w:rsid w:val="0046014A"/>
    <w:rsid w:val="0046026B"/>
    <w:rsid w:val="00461A09"/>
    <w:rsid w:val="00462056"/>
    <w:rsid w:val="0046330E"/>
    <w:rsid w:val="00464EAD"/>
    <w:rsid w:val="004655C4"/>
    <w:rsid w:val="00465DB6"/>
    <w:rsid w:val="0047279E"/>
    <w:rsid w:val="00474C54"/>
    <w:rsid w:val="0047507F"/>
    <w:rsid w:val="004753EA"/>
    <w:rsid w:val="004763CA"/>
    <w:rsid w:val="0047759D"/>
    <w:rsid w:val="00483BDE"/>
    <w:rsid w:val="00486EFC"/>
    <w:rsid w:val="00494016"/>
    <w:rsid w:val="004945DA"/>
    <w:rsid w:val="00494CB4"/>
    <w:rsid w:val="004A26BE"/>
    <w:rsid w:val="004A3635"/>
    <w:rsid w:val="004A3B3F"/>
    <w:rsid w:val="004A459C"/>
    <w:rsid w:val="004B4280"/>
    <w:rsid w:val="004B5774"/>
    <w:rsid w:val="004B69AB"/>
    <w:rsid w:val="004B6CEE"/>
    <w:rsid w:val="004B73ED"/>
    <w:rsid w:val="004C0526"/>
    <w:rsid w:val="004C080B"/>
    <w:rsid w:val="004C0EEA"/>
    <w:rsid w:val="004C11E5"/>
    <w:rsid w:val="004C4E75"/>
    <w:rsid w:val="004C5DFC"/>
    <w:rsid w:val="004C5E34"/>
    <w:rsid w:val="004D046B"/>
    <w:rsid w:val="004D4B87"/>
    <w:rsid w:val="004D532A"/>
    <w:rsid w:val="004D68E1"/>
    <w:rsid w:val="004D7F68"/>
    <w:rsid w:val="004E29DC"/>
    <w:rsid w:val="004E6953"/>
    <w:rsid w:val="004F07BB"/>
    <w:rsid w:val="004F208F"/>
    <w:rsid w:val="004F283C"/>
    <w:rsid w:val="004F4560"/>
    <w:rsid w:val="004F5DDC"/>
    <w:rsid w:val="004F6766"/>
    <w:rsid w:val="004F771F"/>
    <w:rsid w:val="004F7E3D"/>
    <w:rsid w:val="00500836"/>
    <w:rsid w:val="0050191B"/>
    <w:rsid w:val="00505741"/>
    <w:rsid w:val="00507260"/>
    <w:rsid w:val="0050775F"/>
    <w:rsid w:val="0051023A"/>
    <w:rsid w:val="00510365"/>
    <w:rsid w:val="0051278C"/>
    <w:rsid w:val="00513E27"/>
    <w:rsid w:val="00514D0B"/>
    <w:rsid w:val="00517803"/>
    <w:rsid w:val="00521358"/>
    <w:rsid w:val="00521BBA"/>
    <w:rsid w:val="005220EE"/>
    <w:rsid w:val="0052224A"/>
    <w:rsid w:val="00524676"/>
    <w:rsid w:val="00524E90"/>
    <w:rsid w:val="00525853"/>
    <w:rsid w:val="00525E9A"/>
    <w:rsid w:val="005307C8"/>
    <w:rsid w:val="00531574"/>
    <w:rsid w:val="005346FE"/>
    <w:rsid w:val="00535460"/>
    <w:rsid w:val="0054137D"/>
    <w:rsid w:val="00541401"/>
    <w:rsid w:val="00542F05"/>
    <w:rsid w:val="00545059"/>
    <w:rsid w:val="00545A4F"/>
    <w:rsid w:val="00545B5F"/>
    <w:rsid w:val="00546791"/>
    <w:rsid w:val="0055061B"/>
    <w:rsid w:val="00553297"/>
    <w:rsid w:val="005557B6"/>
    <w:rsid w:val="005566C3"/>
    <w:rsid w:val="005600CB"/>
    <w:rsid w:val="00564920"/>
    <w:rsid w:val="00564DF0"/>
    <w:rsid w:val="005678AE"/>
    <w:rsid w:val="0057096C"/>
    <w:rsid w:val="005734B4"/>
    <w:rsid w:val="00573B56"/>
    <w:rsid w:val="0057714C"/>
    <w:rsid w:val="00580211"/>
    <w:rsid w:val="00580494"/>
    <w:rsid w:val="0058247C"/>
    <w:rsid w:val="00583BCA"/>
    <w:rsid w:val="00583CB6"/>
    <w:rsid w:val="00585E1A"/>
    <w:rsid w:val="00591A01"/>
    <w:rsid w:val="00591FE5"/>
    <w:rsid w:val="00594071"/>
    <w:rsid w:val="00594E97"/>
    <w:rsid w:val="00595353"/>
    <w:rsid w:val="005967B8"/>
    <w:rsid w:val="00597739"/>
    <w:rsid w:val="005A0B09"/>
    <w:rsid w:val="005A2193"/>
    <w:rsid w:val="005A36DD"/>
    <w:rsid w:val="005A6FD5"/>
    <w:rsid w:val="005A70FE"/>
    <w:rsid w:val="005B0A91"/>
    <w:rsid w:val="005B3616"/>
    <w:rsid w:val="005B391E"/>
    <w:rsid w:val="005B5C1A"/>
    <w:rsid w:val="005B65AF"/>
    <w:rsid w:val="005B7893"/>
    <w:rsid w:val="005C5E22"/>
    <w:rsid w:val="005C60C6"/>
    <w:rsid w:val="005D293F"/>
    <w:rsid w:val="005D390F"/>
    <w:rsid w:val="005D4799"/>
    <w:rsid w:val="005D4923"/>
    <w:rsid w:val="005E1A45"/>
    <w:rsid w:val="005E1C3A"/>
    <w:rsid w:val="005E20FB"/>
    <w:rsid w:val="005E24DB"/>
    <w:rsid w:val="005E2528"/>
    <w:rsid w:val="005E4609"/>
    <w:rsid w:val="005E48EF"/>
    <w:rsid w:val="005E7B10"/>
    <w:rsid w:val="005F10A0"/>
    <w:rsid w:val="005F2252"/>
    <w:rsid w:val="005F364E"/>
    <w:rsid w:val="005F3C2B"/>
    <w:rsid w:val="005F5BE0"/>
    <w:rsid w:val="005F5FE7"/>
    <w:rsid w:val="00600D38"/>
    <w:rsid w:val="00601723"/>
    <w:rsid w:val="00601BCE"/>
    <w:rsid w:val="0060383B"/>
    <w:rsid w:val="0060540D"/>
    <w:rsid w:val="00606168"/>
    <w:rsid w:val="00606BB3"/>
    <w:rsid w:val="006070F6"/>
    <w:rsid w:val="0061085B"/>
    <w:rsid w:val="00610957"/>
    <w:rsid w:val="00611EF9"/>
    <w:rsid w:val="00612807"/>
    <w:rsid w:val="00615F52"/>
    <w:rsid w:val="006163A5"/>
    <w:rsid w:val="00616EA9"/>
    <w:rsid w:val="00624A41"/>
    <w:rsid w:val="00627BDF"/>
    <w:rsid w:val="00630B97"/>
    <w:rsid w:val="006327E0"/>
    <w:rsid w:val="00633762"/>
    <w:rsid w:val="00634856"/>
    <w:rsid w:val="006351EF"/>
    <w:rsid w:val="006378C2"/>
    <w:rsid w:val="00637B23"/>
    <w:rsid w:val="006425DD"/>
    <w:rsid w:val="006429F8"/>
    <w:rsid w:val="00646045"/>
    <w:rsid w:val="00650727"/>
    <w:rsid w:val="00651A55"/>
    <w:rsid w:val="00653502"/>
    <w:rsid w:val="00653C50"/>
    <w:rsid w:val="006546FA"/>
    <w:rsid w:val="0065644D"/>
    <w:rsid w:val="006629D6"/>
    <w:rsid w:val="00665C63"/>
    <w:rsid w:val="006707D8"/>
    <w:rsid w:val="00671743"/>
    <w:rsid w:val="00671BE6"/>
    <w:rsid w:val="00671C29"/>
    <w:rsid w:val="00673ED6"/>
    <w:rsid w:val="00675CA4"/>
    <w:rsid w:val="006761C9"/>
    <w:rsid w:val="006776EE"/>
    <w:rsid w:val="00682B4B"/>
    <w:rsid w:val="00684F77"/>
    <w:rsid w:val="00686E72"/>
    <w:rsid w:val="0069010F"/>
    <w:rsid w:val="0069016E"/>
    <w:rsid w:val="00690DE8"/>
    <w:rsid w:val="0069330A"/>
    <w:rsid w:val="006939CC"/>
    <w:rsid w:val="00693A57"/>
    <w:rsid w:val="00693E14"/>
    <w:rsid w:val="0069544D"/>
    <w:rsid w:val="00696B55"/>
    <w:rsid w:val="00696E13"/>
    <w:rsid w:val="00697FD5"/>
    <w:rsid w:val="006A0347"/>
    <w:rsid w:val="006A0DB8"/>
    <w:rsid w:val="006A3433"/>
    <w:rsid w:val="006B1C24"/>
    <w:rsid w:val="006B2CC2"/>
    <w:rsid w:val="006B3830"/>
    <w:rsid w:val="006B50DF"/>
    <w:rsid w:val="006C0087"/>
    <w:rsid w:val="006C0EAB"/>
    <w:rsid w:val="006C4095"/>
    <w:rsid w:val="006C43D6"/>
    <w:rsid w:val="006C6C34"/>
    <w:rsid w:val="006C7BE9"/>
    <w:rsid w:val="006C7D34"/>
    <w:rsid w:val="006D1230"/>
    <w:rsid w:val="006D4E43"/>
    <w:rsid w:val="006D4E9B"/>
    <w:rsid w:val="006E3369"/>
    <w:rsid w:val="006E45B4"/>
    <w:rsid w:val="006E6B70"/>
    <w:rsid w:val="006F0508"/>
    <w:rsid w:val="006F0640"/>
    <w:rsid w:val="006F0662"/>
    <w:rsid w:val="006F42B7"/>
    <w:rsid w:val="006F516A"/>
    <w:rsid w:val="00702648"/>
    <w:rsid w:val="00704985"/>
    <w:rsid w:val="00705CC8"/>
    <w:rsid w:val="0070677C"/>
    <w:rsid w:val="00706939"/>
    <w:rsid w:val="00707AE5"/>
    <w:rsid w:val="00707F27"/>
    <w:rsid w:val="0071035A"/>
    <w:rsid w:val="007121A3"/>
    <w:rsid w:val="0071338A"/>
    <w:rsid w:val="00713FE0"/>
    <w:rsid w:val="007147F3"/>
    <w:rsid w:val="00715200"/>
    <w:rsid w:val="00715511"/>
    <w:rsid w:val="00716471"/>
    <w:rsid w:val="00717825"/>
    <w:rsid w:val="00717837"/>
    <w:rsid w:val="0072037C"/>
    <w:rsid w:val="00720B03"/>
    <w:rsid w:val="0072188D"/>
    <w:rsid w:val="00723C14"/>
    <w:rsid w:val="00724A4C"/>
    <w:rsid w:val="00724AB4"/>
    <w:rsid w:val="00734779"/>
    <w:rsid w:val="00737808"/>
    <w:rsid w:val="00740954"/>
    <w:rsid w:val="007411E6"/>
    <w:rsid w:val="00741D4B"/>
    <w:rsid w:val="00742494"/>
    <w:rsid w:val="00743DA7"/>
    <w:rsid w:val="0074432A"/>
    <w:rsid w:val="00745C55"/>
    <w:rsid w:val="0075081D"/>
    <w:rsid w:val="007516C4"/>
    <w:rsid w:val="00752745"/>
    <w:rsid w:val="00753EFE"/>
    <w:rsid w:val="0075430B"/>
    <w:rsid w:val="00757BB9"/>
    <w:rsid w:val="00762DD4"/>
    <w:rsid w:val="007638CB"/>
    <w:rsid w:val="0076510D"/>
    <w:rsid w:val="007660E0"/>
    <w:rsid w:val="00766B55"/>
    <w:rsid w:val="00766F3B"/>
    <w:rsid w:val="0077004E"/>
    <w:rsid w:val="00770BA0"/>
    <w:rsid w:val="00772B9C"/>
    <w:rsid w:val="007744C6"/>
    <w:rsid w:val="0077613D"/>
    <w:rsid w:val="00780761"/>
    <w:rsid w:val="00780E80"/>
    <w:rsid w:val="00780F6F"/>
    <w:rsid w:val="007810FC"/>
    <w:rsid w:val="00787919"/>
    <w:rsid w:val="0079019D"/>
    <w:rsid w:val="007904D7"/>
    <w:rsid w:val="0079120A"/>
    <w:rsid w:val="0079494F"/>
    <w:rsid w:val="00796DBB"/>
    <w:rsid w:val="007A001A"/>
    <w:rsid w:val="007A2EEF"/>
    <w:rsid w:val="007A4E4D"/>
    <w:rsid w:val="007A5BA8"/>
    <w:rsid w:val="007A6A40"/>
    <w:rsid w:val="007A6F1D"/>
    <w:rsid w:val="007A7771"/>
    <w:rsid w:val="007B589D"/>
    <w:rsid w:val="007B7DA8"/>
    <w:rsid w:val="007C61CD"/>
    <w:rsid w:val="007C77C9"/>
    <w:rsid w:val="007D0DEE"/>
    <w:rsid w:val="007D6E40"/>
    <w:rsid w:val="007E0D85"/>
    <w:rsid w:val="007E11A7"/>
    <w:rsid w:val="007E5E26"/>
    <w:rsid w:val="007E784D"/>
    <w:rsid w:val="007F31DE"/>
    <w:rsid w:val="007F7D81"/>
    <w:rsid w:val="007F7E5E"/>
    <w:rsid w:val="00801C71"/>
    <w:rsid w:val="00803B4D"/>
    <w:rsid w:val="00805A5E"/>
    <w:rsid w:val="00805DA4"/>
    <w:rsid w:val="00806A2F"/>
    <w:rsid w:val="0081588A"/>
    <w:rsid w:val="00815D2B"/>
    <w:rsid w:val="00825845"/>
    <w:rsid w:val="008262AF"/>
    <w:rsid w:val="00832DB6"/>
    <w:rsid w:val="00832EBE"/>
    <w:rsid w:val="008332E7"/>
    <w:rsid w:val="00833D41"/>
    <w:rsid w:val="0083427E"/>
    <w:rsid w:val="0083521D"/>
    <w:rsid w:val="008407E7"/>
    <w:rsid w:val="00841D37"/>
    <w:rsid w:val="00842806"/>
    <w:rsid w:val="00844A92"/>
    <w:rsid w:val="00847A19"/>
    <w:rsid w:val="00851E40"/>
    <w:rsid w:val="00852FFB"/>
    <w:rsid w:val="0085429E"/>
    <w:rsid w:val="008543C6"/>
    <w:rsid w:val="00854A5F"/>
    <w:rsid w:val="00854F64"/>
    <w:rsid w:val="00857EBE"/>
    <w:rsid w:val="008602F7"/>
    <w:rsid w:val="008625CE"/>
    <w:rsid w:val="00862610"/>
    <w:rsid w:val="00862C16"/>
    <w:rsid w:val="00867EBD"/>
    <w:rsid w:val="00870341"/>
    <w:rsid w:val="008719E8"/>
    <w:rsid w:val="00872D27"/>
    <w:rsid w:val="00872E4A"/>
    <w:rsid w:val="008731F2"/>
    <w:rsid w:val="00881D4C"/>
    <w:rsid w:val="008833DB"/>
    <w:rsid w:val="008856E3"/>
    <w:rsid w:val="00886A9A"/>
    <w:rsid w:val="008903AF"/>
    <w:rsid w:val="00891DB0"/>
    <w:rsid w:val="008956AE"/>
    <w:rsid w:val="008959B6"/>
    <w:rsid w:val="008A2C1C"/>
    <w:rsid w:val="008A2E2A"/>
    <w:rsid w:val="008A49C4"/>
    <w:rsid w:val="008A4C63"/>
    <w:rsid w:val="008A7472"/>
    <w:rsid w:val="008B3612"/>
    <w:rsid w:val="008B3951"/>
    <w:rsid w:val="008B4081"/>
    <w:rsid w:val="008C0043"/>
    <w:rsid w:val="008C2D9C"/>
    <w:rsid w:val="008C37F5"/>
    <w:rsid w:val="008C3E6F"/>
    <w:rsid w:val="008D0D4D"/>
    <w:rsid w:val="008D1237"/>
    <w:rsid w:val="008D2697"/>
    <w:rsid w:val="008D3BFB"/>
    <w:rsid w:val="008D507A"/>
    <w:rsid w:val="008D550E"/>
    <w:rsid w:val="008E4418"/>
    <w:rsid w:val="008E5465"/>
    <w:rsid w:val="008E57CF"/>
    <w:rsid w:val="008E718E"/>
    <w:rsid w:val="008F2ECB"/>
    <w:rsid w:val="008F38CF"/>
    <w:rsid w:val="008F50AB"/>
    <w:rsid w:val="008F6B6A"/>
    <w:rsid w:val="009011AF"/>
    <w:rsid w:val="00904E83"/>
    <w:rsid w:val="009070F7"/>
    <w:rsid w:val="0090742F"/>
    <w:rsid w:val="009079B1"/>
    <w:rsid w:val="00913226"/>
    <w:rsid w:val="00914274"/>
    <w:rsid w:val="00916BD7"/>
    <w:rsid w:val="00917EC0"/>
    <w:rsid w:val="00922B3E"/>
    <w:rsid w:val="00927FD2"/>
    <w:rsid w:val="0093027F"/>
    <w:rsid w:val="00933696"/>
    <w:rsid w:val="00933A38"/>
    <w:rsid w:val="00934AAB"/>
    <w:rsid w:val="0093554E"/>
    <w:rsid w:val="00937CEA"/>
    <w:rsid w:val="00941826"/>
    <w:rsid w:val="00944248"/>
    <w:rsid w:val="00946718"/>
    <w:rsid w:val="009522D4"/>
    <w:rsid w:val="00952870"/>
    <w:rsid w:val="009570D7"/>
    <w:rsid w:val="00957300"/>
    <w:rsid w:val="00960E2C"/>
    <w:rsid w:val="009716D4"/>
    <w:rsid w:val="0097186D"/>
    <w:rsid w:val="00972805"/>
    <w:rsid w:val="0097697D"/>
    <w:rsid w:val="00977FB8"/>
    <w:rsid w:val="00981121"/>
    <w:rsid w:val="00982FF7"/>
    <w:rsid w:val="00986010"/>
    <w:rsid w:val="00987447"/>
    <w:rsid w:val="00987D4A"/>
    <w:rsid w:val="00990686"/>
    <w:rsid w:val="00992AF3"/>
    <w:rsid w:val="00995D7E"/>
    <w:rsid w:val="00997A1F"/>
    <w:rsid w:val="009A51BC"/>
    <w:rsid w:val="009A7859"/>
    <w:rsid w:val="009B06DE"/>
    <w:rsid w:val="009B0E9A"/>
    <w:rsid w:val="009B2B8F"/>
    <w:rsid w:val="009B4FAA"/>
    <w:rsid w:val="009B6188"/>
    <w:rsid w:val="009B6463"/>
    <w:rsid w:val="009B7586"/>
    <w:rsid w:val="009C04E9"/>
    <w:rsid w:val="009C1065"/>
    <w:rsid w:val="009C1AC2"/>
    <w:rsid w:val="009C2757"/>
    <w:rsid w:val="009C3EB0"/>
    <w:rsid w:val="009C5A8C"/>
    <w:rsid w:val="009C7487"/>
    <w:rsid w:val="009D0395"/>
    <w:rsid w:val="009D32FA"/>
    <w:rsid w:val="009D441D"/>
    <w:rsid w:val="009D4769"/>
    <w:rsid w:val="009D649C"/>
    <w:rsid w:val="009D6E3C"/>
    <w:rsid w:val="009E03B5"/>
    <w:rsid w:val="009E067A"/>
    <w:rsid w:val="009E55BE"/>
    <w:rsid w:val="009F0ECC"/>
    <w:rsid w:val="009F3CCD"/>
    <w:rsid w:val="009F4838"/>
    <w:rsid w:val="009F4919"/>
    <w:rsid w:val="009F63AF"/>
    <w:rsid w:val="00A005F9"/>
    <w:rsid w:val="00A00FE4"/>
    <w:rsid w:val="00A011BC"/>
    <w:rsid w:val="00A02AF1"/>
    <w:rsid w:val="00A03623"/>
    <w:rsid w:val="00A04867"/>
    <w:rsid w:val="00A06765"/>
    <w:rsid w:val="00A06A00"/>
    <w:rsid w:val="00A12A70"/>
    <w:rsid w:val="00A1467E"/>
    <w:rsid w:val="00A14F21"/>
    <w:rsid w:val="00A15951"/>
    <w:rsid w:val="00A1703E"/>
    <w:rsid w:val="00A175F0"/>
    <w:rsid w:val="00A214EE"/>
    <w:rsid w:val="00A219E3"/>
    <w:rsid w:val="00A224FB"/>
    <w:rsid w:val="00A23734"/>
    <w:rsid w:val="00A25F28"/>
    <w:rsid w:val="00A274BB"/>
    <w:rsid w:val="00A32781"/>
    <w:rsid w:val="00A32C73"/>
    <w:rsid w:val="00A3312A"/>
    <w:rsid w:val="00A35150"/>
    <w:rsid w:val="00A36DE8"/>
    <w:rsid w:val="00A42C96"/>
    <w:rsid w:val="00A438B5"/>
    <w:rsid w:val="00A43E32"/>
    <w:rsid w:val="00A44366"/>
    <w:rsid w:val="00A45EAA"/>
    <w:rsid w:val="00A47543"/>
    <w:rsid w:val="00A53412"/>
    <w:rsid w:val="00A54CC9"/>
    <w:rsid w:val="00A54FBD"/>
    <w:rsid w:val="00A57417"/>
    <w:rsid w:val="00A62AFA"/>
    <w:rsid w:val="00A65E8A"/>
    <w:rsid w:val="00A72D11"/>
    <w:rsid w:val="00A744B7"/>
    <w:rsid w:val="00A7490B"/>
    <w:rsid w:val="00A76C14"/>
    <w:rsid w:val="00A81723"/>
    <w:rsid w:val="00A81E74"/>
    <w:rsid w:val="00A84071"/>
    <w:rsid w:val="00A84605"/>
    <w:rsid w:val="00A85707"/>
    <w:rsid w:val="00A85A26"/>
    <w:rsid w:val="00A86A0E"/>
    <w:rsid w:val="00A94186"/>
    <w:rsid w:val="00A944D0"/>
    <w:rsid w:val="00A94967"/>
    <w:rsid w:val="00A95C48"/>
    <w:rsid w:val="00A960FB"/>
    <w:rsid w:val="00A96831"/>
    <w:rsid w:val="00A97C1A"/>
    <w:rsid w:val="00AA0FD8"/>
    <w:rsid w:val="00AA1831"/>
    <w:rsid w:val="00AA1F61"/>
    <w:rsid w:val="00AA50EB"/>
    <w:rsid w:val="00AA638F"/>
    <w:rsid w:val="00AB0CE5"/>
    <w:rsid w:val="00AB1D7F"/>
    <w:rsid w:val="00AB20D3"/>
    <w:rsid w:val="00AB27C0"/>
    <w:rsid w:val="00AB4C6E"/>
    <w:rsid w:val="00AB5609"/>
    <w:rsid w:val="00AB75F4"/>
    <w:rsid w:val="00AC1EA7"/>
    <w:rsid w:val="00AC2521"/>
    <w:rsid w:val="00AC33E0"/>
    <w:rsid w:val="00AC6842"/>
    <w:rsid w:val="00AD0C0B"/>
    <w:rsid w:val="00AD2EF9"/>
    <w:rsid w:val="00AD4812"/>
    <w:rsid w:val="00AD6090"/>
    <w:rsid w:val="00AD60A4"/>
    <w:rsid w:val="00AD6F75"/>
    <w:rsid w:val="00AE1A75"/>
    <w:rsid w:val="00AE4217"/>
    <w:rsid w:val="00AE46A5"/>
    <w:rsid w:val="00AE46BF"/>
    <w:rsid w:val="00AE4A67"/>
    <w:rsid w:val="00AE601A"/>
    <w:rsid w:val="00AF30B5"/>
    <w:rsid w:val="00AF3274"/>
    <w:rsid w:val="00AF59DA"/>
    <w:rsid w:val="00B00554"/>
    <w:rsid w:val="00B01A18"/>
    <w:rsid w:val="00B03097"/>
    <w:rsid w:val="00B0362D"/>
    <w:rsid w:val="00B038F4"/>
    <w:rsid w:val="00B0418D"/>
    <w:rsid w:val="00B04D92"/>
    <w:rsid w:val="00B051D7"/>
    <w:rsid w:val="00B07359"/>
    <w:rsid w:val="00B07478"/>
    <w:rsid w:val="00B07D78"/>
    <w:rsid w:val="00B107B9"/>
    <w:rsid w:val="00B12061"/>
    <w:rsid w:val="00B1362F"/>
    <w:rsid w:val="00B1731E"/>
    <w:rsid w:val="00B2228F"/>
    <w:rsid w:val="00B22AD0"/>
    <w:rsid w:val="00B23C7D"/>
    <w:rsid w:val="00B23C96"/>
    <w:rsid w:val="00B252F3"/>
    <w:rsid w:val="00B268EB"/>
    <w:rsid w:val="00B30B47"/>
    <w:rsid w:val="00B323F1"/>
    <w:rsid w:val="00B419A3"/>
    <w:rsid w:val="00B41C3E"/>
    <w:rsid w:val="00B429E8"/>
    <w:rsid w:val="00B43B1C"/>
    <w:rsid w:val="00B4557E"/>
    <w:rsid w:val="00B45DBA"/>
    <w:rsid w:val="00B45F99"/>
    <w:rsid w:val="00B47E22"/>
    <w:rsid w:val="00B5315A"/>
    <w:rsid w:val="00B53AFB"/>
    <w:rsid w:val="00B54007"/>
    <w:rsid w:val="00B545D8"/>
    <w:rsid w:val="00B5546E"/>
    <w:rsid w:val="00B56C64"/>
    <w:rsid w:val="00B56D11"/>
    <w:rsid w:val="00B578C4"/>
    <w:rsid w:val="00B616DA"/>
    <w:rsid w:val="00B64D6B"/>
    <w:rsid w:val="00B64E63"/>
    <w:rsid w:val="00B7027C"/>
    <w:rsid w:val="00B71833"/>
    <w:rsid w:val="00B72A3F"/>
    <w:rsid w:val="00B737B1"/>
    <w:rsid w:val="00B7429E"/>
    <w:rsid w:val="00B75692"/>
    <w:rsid w:val="00B7655D"/>
    <w:rsid w:val="00B7789E"/>
    <w:rsid w:val="00B77E3B"/>
    <w:rsid w:val="00B81821"/>
    <w:rsid w:val="00B834BC"/>
    <w:rsid w:val="00B843DE"/>
    <w:rsid w:val="00B84C7D"/>
    <w:rsid w:val="00B907AC"/>
    <w:rsid w:val="00B91607"/>
    <w:rsid w:val="00B9501D"/>
    <w:rsid w:val="00B96110"/>
    <w:rsid w:val="00B97C99"/>
    <w:rsid w:val="00BA05C9"/>
    <w:rsid w:val="00BA20EE"/>
    <w:rsid w:val="00BA4E93"/>
    <w:rsid w:val="00BA5645"/>
    <w:rsid w:val="00BA70F1"/>
    <w:rsid w:val="00BB00D9"/>
    <w:rsid w:val="00BB06DD"/>
    <w:rsid w:val="00BB0A50"/>
    <w:rsid w:val="00BB19F6"/>
    <w:rsid w:val="00BB2CA4"/>
    <w:rsid w:val="00BB6DAB"/>
    <w:rsid w:val="00BB7211"/>
    <w:rsid w:val="00BC0075"/>
    <w:rsid w:val="00BC292F"/>
    <w:rsid w:val="00BC30A0"/>
    <w:rsid w:val="00BC451C"/>
    <w:rsid w:val="00BC69A7"/>
    <w:rsid w:val="00BD1E3E"/>
    <w:rsid w:val="00BD23F7"/>
    <w:rsid w:val="00BD3346"/>
    <w:rsid w:val="00BD46F0"/>
    <w:rsid w:val="00BD4ABA"/>
    <w:rsid w:val="00BD5C51"/>
    <w:rsid w:val="00BE099B"/>
    <w:rsid w:val="00BE30AF"/>
    <w:rsid w:val="00BE3E00"/>
    <w:rsid w:val="00BE6265"/>
    <w:rsid w:val="00BE6FCD"/>
    <w:rsid w:val="00BE7F14"/>
    <w:rsid w:val="00BF0C88"/>
    <w:rsid w:val="00BF2885"/>
    <w:rsid w:val="00BF301E"/>
    <w:rsid w:val="00BF3E95"/>
    <w:rsid w:val="00BF41D5"/>
    <w:rsid w:val="00BF4892"/>
    <w:rsid w:val="00BF6BB4"/>
    <w:rsid w:val="00C0171B"/>
    <w:rsid w:val="00C02328"/>
    <w:rsid w:val="00C02A3E"/>
    <w:rsid w:val="00C03B0D"/>
    <w:rsid w:val="00C07288"/>
    <w:rsid w:val="00C12C1D"/>
    <w:rsid w:val="00C14C20"/>
    <w:rsid w:val="00C151A3"/>
    <w:rsid w:val="00C155DC"/>
    <w:rsid w:val="00C16496"/>
    <w:rsid w:val="00C16701"/>
    <w:rsid w:val="00C17C29"/>
    <w:rsid w:val="00C22677"/>
    <w:rsid w:val="00C227E9"/>
    <w:rsid w:val="00C246CC"/>
    <w:rsid w:val="00C33E2D"/>
    <w:rsid w:val="00C34DE3"/>
    <w:rsid w:val="00C34E04"/>
    <w:rsid w:val="00C34E5F"/>
    <w:rsid w:val="00C36624"/>
    <w:rsid w:val="00C37141"/>
    <w:rsid w:val="00C402FA"/>
    <w:rsid w:val="00C4391B"/>
    <w:rsid w:val="00C446B4"/>
    <w:rsid w:val="00C44CD1"/>
    <w:rsid w:val="00C46390"/>
    <w:rsid w:val="00C50B12"/>
    <w:rsid w:val="00C53692"/>
    <w:rsid w:val="00C55106"/>
    <w:rsid w:val="00C60E43"/>
    <w:rsid w:val="00C61B73"/>
    <w:rsid w:val="00C650AF"/>
    <w:rsid w:val="00C6533F"/>
    <w:rsid w:val="00C6547E"/>
    <w:rsid w:val="00C66A2E"/>
    <w:rsid w:val="00C70110"/>
    <w:rsid w:val="00C726CB"/>
    <w:rsid w:val="00C7318E"/>
    <w:rsid w:val="00C733FC"/>
    <w:rsid w:val="00C73895"/>
    <w:rsid w:val="00C75D62"/>
    <w:rsid w:val="00C76DE1"/>
    <w:rsid w:val="00C82017"/>
    <w:rsid w:val="00C83150"/>
    <w:rsid w:val="00C868D0"/>
    <w:rsid w:val="00C87BAC"/>
    <w:rsid w:val="00C900A4"/>
    <w:rsid w:val="00C9169D"/>
    <w:rsid w:val="00C9303A"/>
    <w:rsid w:val="00C935C2"/>
    <w:rsid w:val="00C9588A"/>
    <w:rsid w:val="00C9610D"/>
    <w:rsid w:val="00C97B14"/>
    <w:rsid w:val="00C97F1E"/>
    <w:rsid w:val="00CA01F5"/>
    <w:rsid w:val="00CA0603"/>
    <w:rsid w:val="00CA07D0"/>
    <w:rsid w:val="00CA1EB1"/>
    <w:rsid w:val="00CA278C"/>
    <w:rsid w:val="00CA2E13"/>
    <w:rsid w:val="00CA5ACC"/>
    <w:rsid w:val="00CA7565"/>
    <w:rsid w:val="00CB27F4"/>
    <w:rsid w:val="00CB2F12"/>
    <w:rsid w:val="00CB3827"/>
    <w:rsid w:val="00CB47D7"/>
    <w:rsid w:val="00CB5064"/>
    <w:rsid w:val="00CB58E1"/>
    <w:rsid w:val="00CB6709"/>
    <w:rsid w:val="00CC1418"/>
    <w:rsid w:val="00CC16F5"/>
    <w:rsid w:val="00CC1855"/>
    <w:rsid w:val="00CC1A73"/>
    <w:rsid w:val="00CC2444"/>
    <w:rsid w:val="00CC272B"/>
    <w:rsid w:val="00CC3A7D"/>
    <w:rsid w:val="00CC3C96"/>
    <w:rsid w:val="00CC4B52"/>
    <w:rsid w:val="00CC4FB7"/>
    <w:rsid w:val="00CC68E0"/>
    <w:rsid w:val="00CD4786"/>
    <w:rsid w:val="00CD6E0C"/>
    <w:rsid w:val="00CD6EC8"/>
    <w:rsid w:val="00CD7DD7"/>
    <w:rsid w:val="00CE01CB"/>
    <w:rsid w:val="00CE2EAE"/>
    <w:rsid w:val="00CE3900"/>
    <w:rsid w:val="00CE40BB"/>
    <w:rsid w:val="00CE58D9"/>
    <w:rsid w:val="00CE7DC0"/>
    <w:rsid w:val="00CF28ED"/>
    <w:rsid w:val="00CF2BE6"/>
    <w:rsid w:val="00CF59A4"/>
    <w:rsid w:val="00CF6547"/>
    <w:rsid w:val="00D0097F"/>
    <w:rsid w:val="00D02D71"/>
    <w:rsid w:val="00D03849"/>
    <w:rsid w:val="00D03BFA"/>
    <w:rsid w:val="00D04FF4"/>
    <w:rsid w:val="00D064E7"/>
    <w:rsid w:val="00D12071"/>
    <w:rsid w:val="00D130DC"/>
    <w:rsid w:val="00D13417"/>
    <w:rsid w:val="00D1734D"/>
    <w:rsid w:val="00D26555"/>
    <w:rsid w:val="00D276E7"/>
    <w:rsid w:val="00D31009"/>
    <w:rsid w:val="00D32F82"/>
    <w:rsid w:val="00D37478"/>
    <w:rsid w:val="00D41860"/>
    <w:rsid w:val="00D43624"/>
    <w:rsid w:val="00D445B0"/>
    <w:rsid w:val="00D4788C"/>
    <w:rsid w:val="00D47CB2"/>
    <w:rsid w:val="00D52CE4"/>
    <w:rsid w:val="00D53768"/>
    <w:rsid w:val="00D56860"/>
    <w:rsid w:val="00D65429"/>
    <w:rsid w:val="00D66164"/>
    <w:rsid w:val="00D67B11"/>
    <w:rsid w:val="00D7162A"/>
    <w:rsid w:val="00D718B0"/>
    <w:rsid w:val="00D71ED8"/>
    <w:rsid w:val="00D7366A"/>
    <w:rsid w:val="00D7493C"/>
    <w:rsid w:val="00D74BAB"/>
    <w:rsid w:val="00D7535B"/>
    <w:rsid w:val="00D75540"/>
    <w:rsid w:val="00D75C6A"/>
    <w:rsid w:val="00D768D0"/>
    <w:rsid w:val="00D76F90"/>
    <w:rsid w:val="00D80156"/>
    <w:rsid w:val="00D80BC0"/>
    <w:rsid w:val="00D829B7"/>
    <w:rsid w:val="00D852B0"/>
    <w:rsid w:val="00D85546"/>
    <w:rsid w:val="00D86515"/>
    <w:rsid w:val="00D86A44"/>
    <w:rsid w:val="00D8715D"/>
    <w:rsid w:val="00D8728B"/>
    <w:rsid w:val="00D916B4"/>
    <w:rsid w:val="00D95353"/>
    <w:rsid w:val="00DA2588"/>
    <w:rsid w:val="00DA2E91"/>
    <w:rsid w:val="00DA54F9"/>
    <w:rsid w:val="00DA5F15"/>
    <w:rsid w:val="00DA5F4B"/>
    <w:rsid w:val="00DB0CCC"/>
    <w:rsid w:val="00DB13F7"/>
    <w:rsid w:val="00DB1419"/>
    <w:rsid w:val="00DB1736"/>
    <w:rsid w:val="00DB3398"/>
    <w:rsid w:val="00DB7735"/>
    <w:rsid w:val="00DC037A"/>
    <w:rsid w:val="00DC09D2"/>
    <w:rsid w:val="00DC0EDE"/>
    <w:rsid w:val="00DC10F8"/>
    <w:rsid w:val="00DC2161"/>
    <w:rsid w:val="00DD10A1"/>
    <w:rsid w:val="00DD1DB2"/>
    <w:rsid w:val="00DD234C"/>
    <w:rsid w:val="00DD3674"/>
    <w:rsid w:val="00DD4557"/>
    <w:rsid w:val="00DE565E"/>
    <w:rsid w:val="00DE5F6A"/>
    <w:rsid w:val="00DE718C"/>
    <w:rsid w:val="00DF3364"/>
    <w:rsid w:val="00DF365F"/>
    <w:rsid w:val="00E0137F"/>
    <w:rsid w:val="00E024E3"/>
    <w:rsid w:val="00E03214"/>
    <w:rsid w:val="00E0513F"/>
    <w:rsid w:val="00E0520E"/>
    <w:rsid w:val="00E057FE"/>
    <w:rsid w:val="00E10331"/>
    <w:rsid w:val="00E11994"/>
    <w:rsid w:val="00E1342D"/>
    <w:rsid w:val="00E165F9"/>
    <w:rsid w:val="00E17813"/>
    <w:rsid w:val="00E2040E"/>
    <w:rsid w:val="00E21849"/>
    <w:rsid w:val="00E22269"/>
    <w:rsid w:val="00E22EB5"/>
    <w:rsid w:val="00E23EC6"/>
    <w:rsid w:val="00E25A7C"/>
    <w:rsid w:val="00E2626B"/>
    <w:rsid w:val="00E26D06"/>
    <w:rsid w:val="00E36AB2"/>
    <w:rsid w:val="00E43439"/>
    <w:rsid w:val="00E46268"/>
    <w:rsid w:val="00E5024E"/>
    <w:rsid w:val="00E505C9"/>
    <w:rsid w:val="00E50AD3"/>
    <w:rsid w:val="00E50FBB"/>
    <w:rsid w:val="00E51B01"/>
    <w:rsid w:val="00E57532"/>
    <w:rsid w:val="00E60D94"/>
    <w:rsid w:val="00E616CF"/>
    <w:rsid w:val="00E64D70"/>
    <w:rsid w:val="00E656ED"/>
    <w:rsid w:val="00E67944"/>
    <w:rsid w:val="00E71D97"/>
    <w:rsid w:val="00E743C5"/>
    <w:rsid w:val="00E74B2F"/>
    <w:rsid w:val="00E74EBA"/>
    <w:rsid w:val="00E75A3E"/>
    <w:rsid w:val="00E770F6"/>
    <w:rsid w:val="00E77469"/>
    <w:rsid w:val="00E812C2"/>
    <w:rsid w:val="00E8194F"/>
    <w:rsid w:val="00E81ACC"/>
    <w:rsid w:val="00E843D7"/>
    <w:rsid w:val="00E851D7"/>
    <w:rsid w:val="00E859FC"/>
    <w:rsid w:val="00E9100A"/>
    <w:rsid w:val="00E95A8D"/>
    <w:rsid w:val="00E95B4C"/>
    <w:rsid w:val="00EA11FF"/>
    <w:rsid w:val="00EA148D"/>
    <w:rsid w:val="00EA1DEB"/>
    <w:rsid w:val="00EA494C"/>
    <w:rsid w:val="00EA5FF1"/>
    <w:rsid w:val="00EA6B78"/>
    <w:rsid w:val="00EA713D"/>
    <w:rsid w:val="00EB11BC"/>
    <w:rsid w:val="00EB1920"/>
    <w:rsid w:val="00EB47CD"/>
    <w:rsid w:val="00EB4923"/>
    <w:rsid w:val="00EB58C0"/>
    <w:rsid w:val="00EB62D8"/>
    <w:rsid w:val="00EB77F7"/>
    <w:rsid w:val="00EC3CB4"/>
    <w:rsid w:val="00EC7D91"/>
    <w:rsid w:val="00ED0CA3"/>
    <w:rsid w:val="00ED40B4"/>
    <w:rsid w:val="00ED4AFF"/>
    <w:rsid w:val="00ED59CD"/>
    <w:rsid w:val="00EE0BE8"/>
    <w:rsid w:val="00EE3009"/>
    <w:rsid w:val="00EE3C31"/>
    <w:rsid w:val="00EF01BD"/>
    <w:rsid w:val="00EF0246"/>
    <w:rsid w:val="00EF0301"/>
    <w:rsid w:val="00EF070A"/>
    <w:rsid w:val="00EF156D"/>
    <w:rsid w:val="00EF2561"/>
    <w:rsid w:val="00EF2756"/>
    <w:rsid w:val="00F00C6D"/>
    <w:rsid w:val="00F01A07"/>
    <w:rsid w:val="00F025BC"/>
    <w:rsid w:val="00F02BE7"/>
    <w:rsid w:val="00F0511C"/>
    <w:rsid w:val="00F0744B"/>
    <w:rsid w:val="00F12041"/>
    <w:rsid w:val="00F1557D"/>
    <w:rsid w:val="00F158E1"/>
    <w:rsid w:val="00F20B39"/>
    <w:rsid w:val="00F24C60"/>
    <w:rsid w:val="00F255E3"/>
    <w:rsid w:val="00F302A6"/>
    <w:rsid w:val="00F31109"/>
    <w:rsid w:val="00F3783C"/>
    <w:rsid w:val="00F37DA8"/>
    <w:rsid w:val="00F4113B"/>
    <w:rsid w:val="00F41738"/>
    <w:rsid w:val="00F43D64"/>
    <w:rsid w:val="00F465CE"/>
    <w:rsid w:val="00F50C1B"/>
    <w:rsid w:val="00F52AD7"/>
    <w:rsid w:val="00F5314F"/>
    <w:rsid w:val="00F57A80"/>
    <w:rsid w:val="00F63CCB"/>
    <w:rsid w:val="00F63D1C"/>
    <w:rsid w:val="00F66E6E"/>
    <w:rsid w:val="00F67BFF"/>
    <w:rsid w:val="00F728FB"/>
    <w:rsid w:val="00F73DF3"/>
    <w:rsid w:val="00F82856"/>
    <w:rsid w:val="00F82F80"/>
    <w:rsid w:val="00F859E0"/>
    <w:rsid w:val="00F85C83"/>
    <w:rsid w:val="00F87781"/>
    <w:rsid w:val="00F91B94"/>
    <w:rsid w:val="00F92117"/>
    <w:rsid w:val="00F93BA2"/>
    <w:rsid w:val="00F94F7E"/>
    <w:rsid w:val="00F95E0D"/>
    <w:rsid w:val="00F95F2E"/>
    <w:rsid w:val="00F95F45"/>
    <w:rsid w:val="00F96514"/>
    <w:rsid w:val="00F96DDD"/>
    <w:rsid w:val="00F97470"/>
    <w:rsid w:val="00FA06AE"/>
    <w:rsid w:val="00FA1B58"/>
    <w:rsid w:val="00FA2C73"/>
    <w:rsid w:val="00FA4AEA"/>
    <w:rsid w:val="00FB19DF"/>
    <w:rsid w:val="00FB20F4"/>
    <w:rsid w:val="00FB25AA"/>
    <w:rsid w:val="00FB3EA6"/>
    <w:rsid w:val="00FB42EA"/>
    <w:rsid w:val="00FB60BF"/>
    <w:rsid w:val="00FB7585"/>
    <w:rsid w:val="00FC6FCC"/>
    <w:rsid w:val="00FD09B8"/>
    <w:rsid w:val="00FD497A"/>
    <w:rsid w:val="00FD653F"/>
    <w:rsid w:val="00FD6668"/>
    <w:rsid w:val="00FD6D50"/>
    <w:rsid w:val="00FD79E3"/>
    <w:rsid w:val="00FE188A"/>
    <w:rsid w:val="00FE3972"/>
    <w:rsid w:val="00FE56A1"/>
    <w:rsid w:val="00FE584B"/>
    <w:rsid w:val="00FE6395"/>
    <w:rsid w:val="00FE7BAF"/>
    <w:rsid w:val="00FF15CF"/>
    <w:rsid w:val="00FF17AB"/>
    <w:rsid w:val="00FF3CA3"/>
    <w:rsid w:val="00FF467A"/>
    <w:rsid w:val="00FF55D8"/>
    <w:rsid w:val="00FF6166"/>
    <w:rsid w:val="00FF6575"/>
    <w:rsid w:val="00FF6E33"/>
    <w:rsid w:val="00FF7259"/>
    <w:rsid w:val="00FF76EF"/>
    <w:rsid w:val="0FFD0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nhideWhenUsed="0" w:uiPriority="1" w:semiHidden="0" w:name="heading 4"/>
    <w:lsdException w:qFormat="1" w:unhideWhenUsed="0" w:uiPriority="1" w:semiHidden="0" w:name="heading 5"/>
    <w:lsdException w:qFormat="1" w:unhideWhenUsed="0" w:uiPriority="1" w:semiHidden="0" w:name="heading 6"/>
    <w:lsdException w:qFormat="1" w:unhideWhenUsed="0" w:uiPriority="1" w:semiHidden="0" w:name="heading 7"/>
    <w:lsdException w:qFormat="1" w:unhideWhenUsed="0" w:uiPriority="1" w:semiHidden="0" w:name="heading 8"/>
    <w:lsdException w:unhideWhenUsed="0" w:uiPriority="1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iPriority="99" w:name="Normal Indent"/>
    <w:lsdException w:qFormat="1" w:uiPriority="1" w:name="footnote text"/>
    <w:lsdException w:qFormat="1" w:uiPriority="0" w:semiHidden="0" w:name="annotation text"/>
    <w:lsdException w:qFormat="1" w:uiPriority="99" w:semiHidden="0" w:name="header"/>
    <w:lsdException w:qFormat="1" w:uiPriority="1" w:semiHidden="0" w:name="footer"/>
    <w:lsdException w:uiPriority="99" w:name="index heading"/>
    <w:lsdException w:qFormat="1" w:uiPriority="1" w:semiHidden="0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qFormat="1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2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1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qFormat="1" w:unhideWhenUsed="0" w:uiPriority="0" w:semiHidden="0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0" w:line="240" w:lineRule="auto"/>
      <w:jc w:val="both"/>
    </w:pPr>
    <w:rPr>
      <w:rFonts w:eastAsia="Times New Roman" w:cs="Times New Roman" w:asciiTheme="minorHAnsi" w:hAnsiTheme="minorHAnsi"/>
      <w:kern w:val="0"/>
      <w:sz w:val="24"/>
      <w:szCs w:val="24"/>
      <w:lang w:val="ru-RU" w:eastAsia="ru-RU" w:bidi="ar-SA"/>
      <w14:ligatures w14:val="none"/>
    </w:rPr>
  </w:style>
  <w:style w:type="paragraph" w:styleId="2">
    <w:name w:val="heading 1"/>
    <w:basedOn w:val="1"/>
    <w:next w:val="3"/>
    <w:link w:val="62"/>
    <w:qFormat/>
    <w:uiPriority w:val="1"/>
    <w:pPr>
      <w:keepNext/>
      <w:pageBreakBefore/>
      <w:numPr>
        <w:ilvl w:val="0"/>
        <w:numId w:val="1"/>
      </w:numPr>
      <w:shd w:val="clear" w:color="auto" w:fill="FFFFFF"/>
      <w:tabs>
        <w:tab w:val="left" w:pos="567"/>
      </w:tabs>
      <w:spacing w:after="120" w:line="360" w:lineRule="auto"/>
      <w:jc w:val="left"/>
      <w:outlineLvl w:val="0"/>
    </w:pPr>
    <w:rPr>
      <w:rFonts w:eastAsia="SimSun"/>
      <w:b/>
      <w:bCs/>
      <w:caps/>
      <w:kern w:val="32"/>
      <w:sz w:val="32"/>
      <w:szCs w:val="32"/>
    </w:rPr>
  </w:style>
  <w:style w:type="paragraph" w:styleId="3">
    <w:name w:val="heading 2"/>
    <w:basedOn w:val="1"/>
    <w:next w:val="1"/>
    <w:link w:val="63"/>
    <w:qFormat/>
    <w:uiPriority w:val="1"/>
    <w:pPr>
      <w:keepNext/>
      <w:numPr>
        <w:ilvl w:val="1"/>
        <w:numId w:val="1"/>
      </w:numPr>
      <w:shd w:val="clear" w:color="auto" w:fill="FFFFFF"/>
      <w:tabs>
        <w:tab w:val="left" w:pos="709"/>
        <w:tab w:val="clear" w:pos="1440"/>
      </w:tabs>
      <w:spacing w:before="360" w:after="60" w:line="360" w:lineRule="auto"/>
      <w:ind w:left="0"/>
      <w:outlineLvl w:val="1"/>
    </w:pPr>
    <w:rPr>
      <w:rFonts w:eastAsia="SimSun"/>
      <w:b/>
      <w:bCs/>
      <w:iCs/>
      <w:sz w:val="28"/>
      <w:szCs w:val="28"/>
    </w:rPr>
  </w:style>
  <w:style w:type="paragraph" w:styleId="4">
    <w:name w:val="heading 3"/>
    <w:basedOn w:val="1"/>
    <w:next w:val="1"/>
    <w:link w:val="64"/>
    <w:qFormat/>
    <w:uiPriority w:val="1"/>
    <w:pPr>
      <w:keepNext/>
      <w:numPr>
        <w:ilvl w:val="2"/>
        <w:numId w:val="1"/>
      </w:numPr>
      <w:shd w:val="clear" w:color="auto" w:fill="FFFFFF"/>
      <w:tabs>
        <w:tab w:val="left" w:pos="709"/>
      </w:tabs>
      <w:spacing w:before="120" w:after="60" w:line="360" w:lineRule="auto"/>
      <w:outlineLvl w:val="2"/>
    </w:pPr>
    <w:rPr>
      <w:rFonts w:eastAsia="SimSun"/>
      <w:b/>
      <w:bCs/>
      <w:szCs w:val="26"/>
    </w:rPr>
  </w:style>
  <w:style w:type="paragraph" w:styleId="5">
    <w:name w:val="heading 4"/>
    <w:basedOn w:val="4"/>
    <w:next w:val="1"/>
    <w:link w:val="65"/>
    <w:qFormat/>
    <w:uiPriority w:val="1"/>
    <w:pPr>
      <w:numPr>
        <w:ilvl w:val="3"/>
      </w:numPr>
      <w:tabs>
        <w:tab w:val="left" w:pos="851"/>
        <w:tab w:val="left" w:pos="2127"/>
        <w:tab w:val="left" w:pos="2268"/>
        <w:tab w:val="clear" w:pos="709"/>
      </w:tabs>
      <w:outlineLvl w:val="3"/>
    </w:pPr>
  </w:style>
  <w:style w:type="paragraph" w:styleId="6">
    <w:name w:val="heading 5"/>
    <w:basedOn w:val="1"/>
    <w:next w:val="1"/>
    <w:link w:val="78"/>
    <w:qFormat/>
    <w:uiPriority w:val="1"/>
    <w:pPr>
      <w:numPr>
        <w:ilvl w:val="4"/>
        <w:numId w:val="2"/>
      </w:numPr>
      <w:tabs>
        <w:tab w:val="left" w:pos="2160"/>
        <w:tab w:val="left" w:pos="2340"/>
        <w:tab w:val="clear" w:pos="3600"/>
      </w:tabs>
      <w:spacing w:before="120" w:after="60" w:line="360" w:lineRule="auto"/>
      <w:ind w:left="720" w:firstLine="0"/>
      <w:jc w:val="left"/>
      <w:outlineLvl w:val="4"/>
    </w:pPr>
    <w:rPr>
      <w:rFonts w:ascii="Arial" w:hAnsi="Arial"/>
      <w:b/>
      <w:bCs/>
      <w:iCs/>
      <w:sz w:val="22"/>
      <w:szCs w:val="26"/>
    </w:rPr>
  </w:style>
  <w:style w:type="paragraph" w:styleId="7">
    <w:name w:val="heading 6"/>
    <w:basedOn w:val="1"/>
    <w:next w:val="1"/>
    <w:link w:val="66"/>
    <w:qFormat/>
    <w:uiPriority w:val="1"/>
    <w:pPr>
      <w:keepNext/>
      <w:numPr>
        <w:ilvl w:val="5"/>
        <w:numId w:val="1"/>
      </w:numPr>
      <w:spacing w:before="120" w:after="60" w:line="360" w:lineRule="auto"/>
      <w:outlineLvl w:val="5"/>
    </w:pPr>
    <w:rPr>
      <w:rFonts w:ascii="Arial" w:hAnsi="Arial" w:eastAsia="SimSun"/>
      <w:b/>
      <w:bCs/>
      <w:sz w:val="22"/>
    </w:rPr>
  </w:style>
  <w:style w:type="paragraph" w:styleId="8">
    <w:name w:val="heading 7"/>
    <w:basedOn w:val="1"/>
    <w:next w:val="1"/>
    <w:link w:val="67"/>
    <w:qFormat/>
    <w:uiPriority w:val="1"/>
    <w:pPr>
      <w:numPr>
        <w:ilvl w:val="6"/>
        <w:numId w:val="1"/>
      </w:numPr>
      <w:suppressAutoHyphens/>
      <w:spacing w:before="120" w:after="60" w:line="360" w:lineRule="auto"/>
      <w:outlineLvl w:val="6"/>
    </w:pPr>
    <w:rPr>
      <w:rFonts w:ascii="Arial" w:hAnsi="Arial" w:eastAsia="SimSun"/>
      <w:b/>
      <w:bCs/>
      <w:sz w:val="22"/>
      <w:szCs w:val="20"/>
    </w:rPr>
  </w:style>
  <w:style w:type="paragraph" w:styleId="9">
    <w:name w:val="heading 8"/>
    <w:basedOn w:val="1"/>
    <w:next w:val="1"/>
    <w:link w:val="68"/>
    <w:qFormat/>
    <w:uiPriority w:val="1"/>
    <w:pPr>
      <w:numPr>
        <w:ilvl w:val="7"/>
        <w:numId w:val="1"/>
      </w:numPr>
      <w:suppressAutoHyphens/>
      <w:spacing w:before="120" w:after="60" w:line="360" w:lineRule="auto"/>
      <w:outlineLvl w:val="7"/>
    </w:pPr>
    <w:rPr>
      <w:rFonts w:ascii="Arial" w:hAnsi="Arial" w:eastAsia="SimSun"/>
      <w:b/>
      <w:sz w:val="22"/>
      <w:szCs w:val="20"/>
    </w:rPr>
  </w:style>
  <w:style w:type="paragraph" w:styleId="10">
    <w:name w:val="heading 9"/>
    <w:basedOn w:val="1"/>
    <w:next w:val="1"/>
    <w:link w:val="69"/>
    <w:uiPriority w:val="1"/>
    <w:pPr>
      <w:numPr>
        <w:ilvl w:val="8"/>
        <w:numId w:val="1"/>
      </w:numPr>
      <w:suppressAutoHyphens/>
      <w:spacing w:before="120" w:after="60" w:line="360" w:lineRule="auto"/>
      <w:outlineLvl w:val="8"/>
    </w:pPr>
    <w:rPr>
      <w:rFonts w:ascii="Arial" w:hAnsi="Arial" w:eastAsia="SimSun"/>
      <w:b/>
      <w:sz w:val="22"/>
      <w:szCs w:val="20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basedOn w:val="11"/>
    <w:semiHidden/>
    <w:qFormat/>
    <w:uiPriority w:val="2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footnote reference"/>
    <w:basedOn w:val="11"/>
    <w:unhideWhenUsed/>
    <w:qFormat/>
    <w:uiPriority w:val="99"/>
    <w:rPr>
      <w:vertAlign w:val="superscript"/>
    </w:rPr>
  </w:style>
  <w:style w:type="character" w:styleId="15">
    <w:name w:val="annotation reference"/>
    <w:basedOn w:val="11"/>
    <w:unhideWhenUsed/>
    <w:qFormat/>
    <w:uiPriority w:val="0"/>
    <w:rPr>
      <w:sz w:val="16"/>
      <w:szCs w:val="16"/>
    </w:rPr>
  </w:style>
  <w:style w:type="character" w:styleId="16">
    <w:name w:val="Emphasis"/>
    <w:basedOn w:val="11"/>
    <w:qFormat/>
    <w:uiPriority w:val="20"/>
    <w:rPr>
      <w:i/>
      <w:iCs/>
    </w:rPr>
  </w:style>
  <w:style w:type="character" w:styleId="17">
    <w:name w:val="Hyperlink"/>
    <w:qFormat/>
    <w:uiPriority w:val="99"/>
    <w:rPr>
      <w:color w:val="0000FF"/>
      <w:u w:val="single"/>
    </w:rPr>
  </w:style>
  <w:style w:type="paragraph" w:styleId="18">
    <w:name w:val="caption"/>
    <w:basedOn w:val="1"/>
    <w:next w:val="1"/>
    <w:unhideWhenUsed/>
    <w:qFormat/>
    <w:uiPriority w:val="1"/>
    <w:pPr>
      <w:spacing w:after="200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19">
    <w:name w:val="annotation text"/>
    <w:basedOn w:val="1"/>
    <w:link w:val="75"/>
    <w:unhideWhenUsed/>
    <w:qFormat/>
    <w:uiPriority w:val="0"/>
    <w:rPr>
      <w:sz w:val="20"/>
      <w:szCs w:val="20"/>
    </w:rPr>
  </w:style>
  <w:style w:type="paragraph" w:styleId="20">
    <w:name w:val="annotation subject"/>
    <w:basedOn w:val="1"/>
    <w:next w:val="1"/>
    <w:link w:val="76"/>
    <w:semiHidden/>
    <w:unhideWhenUsed/>
    <w:qFormat/>
    <w:uiPriority w:val="1"/>
    <w:rPr>
      <w:rFonts w:ascii="PT Astra Serif" w:hAnsi="PT Astra Serif"/>
      <w:b/>
      <w:bCs/>
      <w:sz w:val="20"/>
      <w:szCs w:val="20"/>
    </w:rPr>
  </w:style>
  <w:style w:type="paragraph" w:styleId="21">
    <w:name w:val="footnote text"/>
    <w:basedOn w:val="1"/>
    <w:link w:val="74"/>
    <w:semiHidden/>
    <w:unhideWhenUsed/>
    <w:qFormat/>
    <w:uiPriority w:val="1"/>
    <w:rPr>
      <w:sz w:val="20"/>
      <w:szCs w:val="20"/>
    </w:rPr>
  </w:style>
  <w:style w:type="paragraph" w:styleId="22">
    <w:name w:val="toc 8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ind w:left="1200" w:firstLine="567"/>
      <w:contextualSpacing/>
      <w:jc w:val="left"/>
    </w:pPr>
    <w:rPr>
      <w:rFonts w:ascii="Arial" w:hAnsi="Arial"/>
      <w:sz w:val="20"/>
      <w:lang w:val="en-US"/>
    </w:rPr>
  </w:style>
  <w:style w:type="paragraph" w:styleId="23">
    <w:name w:val="header"/>
    <w:basedOn w:val="1"/>
    <w:link w:val="61"/>
    <w:unhideWhenUsed/>
    <w:qFormat/>
    <w:uiPriority w:val="99"/>
    <w:pPr>
      <w:tabs>
        <w:tab w:val="center" w:pos="4677"/>
        <w:tab w:val="right" w:pos="9355"/>
      </w:tabs>
    </w:pPr>
  </w:style>
  <w:style w:type="paragraph" w:styleId="24">
    <w:name w:val="toc 9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ind w:left="1400" w:firstLine="567"/>
      <w:contextualSpacing/>
      <w:jc w:val="left"/>
    </w:pPr>
    <w:rPr>
      <w:rFonts w:ascii="Arial" w:hAnsi="Arial"/>
      <w:sz w:val="18"/>
      <w:lang w:val="en-US"/>
    </w:rPr>
  </w:style>
  <w:style w:type="paragraph" w:styleId="25">
    <w:name w:val="toc 7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contextualSpacing/>
      <w:jc w:val="left"/>
    </w:pPr>
    <w:rPr>
      <w:rFonts w:ascii="Arial" w:hAnsi="Arial"/>
      <w:sz w:val="20"/>
      <w:lang w:val="en-US"/>
    </w:rPr>
  </w:style>
  <w:style w:type="paragraph" w:styleId="26">
    <w:name w:val="toc 1"/>
    <w:next w:val="1"/>
    <w:autoRedefine/>
    <w:qFormat/>
    <w:uiPriority w:val="39"/>
    <w:pPr>
      <w:tabs>
        <w:tab w:val="left" w:pos="709"/>
        <w:tab w:val="right" w:leader="dot" w:pos="9633"/>
      </w:tabs>
      <w:spacing w:after="0" w:line="276" w:lineRule="auto"/>
      <w:ind w:left="397" w:right="567" w:hanging="397"/>
    </w:pPr>
    <w:rPr>
      <w:rFonts w:ascii="PT Astra Serif" w:hAnsi="PT Astra Serif" w:eastAsia="SimSun" w:cs="Times New Roman"/>
      <w:kern w:val="0"/>
      <w:sz w:val="24"/>
      <w:szCs w:val="24"/>
      <w:lang w:val="ru-RU" w:eastAsia="ru-RU" w:bidi="ar-SA"/>
      <w14:ligatures w14:val="none"/>
    </w:rPr>
  </w:style>
  <w:style w:type="paragraph" w:styleId="27">
    <w:name w:val="toc 6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ind w:left="800" w:firstLine="567"/>
      <w:contextualSpacing/>
      <w:jc w:val="left"/>
    </w:pPr>
    <w:rPr>
      <w:rFonts w:ascii="Arial" w:hAnsi="Arial"/>
      <w:sz w:val="20"/>
      <w:lang w:val="en-US"/>
    </w:rPr>
  </w:style>
  <w:style w:type="paragraph" w:styleId="28">
    <w:name w:val="toc 3"/>
    <w:next w:val="1"/>
    <w:autoRedefine/>
    <w:qFormat/>
    <w:uiPriority w:val="39"/>
    <w:pPr>
      <w:tabs>
        <w:tab w:val="left" w:pos="720"/>
        <w:tab w:val="right" w:leader="dot" w:pos="9633"/>
      </w:tabs>
      <w:spacing w:after="0" w:line="276" w:lineRule="auto"/>
      <w:ind w:left="1134" w:right="284" w:hanging="567"/>
    </w:pPr>
    <w:rPr>
      <w:rFonts w:ascii="PT Astra Serif" w:hAnsi="PT Astra Serif" w:eastAsia="SimSun" w:cs="Times New Roman"/>
      <w:kern w:val="0"/>
      <w:sz w:val="24"/>
      <w:szCs w:val="24"/>
      <w:lang w:val="ru-RU" w:eastAsia="ru-RU" w:bidi="ar-SA"/>
      <w14:ligatures w14:val="none"/>
    </w:rPr>
  </w:style>
  <w:style w:type="paragraph" w:styleId="29">
    <w:name w:val="toc 2"/>
    <w:next w:val="1"/>
    <w:autoRedefine/>
    <w:qFormat/>
    <w:uiPriority w:val="39"/>
    <w:pPr>
      <w:tabs>
        <w:tab w:val="left" w:pos="720"/>
        <w:tab w:val="right" w:leader="dot" w:pos="9633"/>
      </w:tabs>
      <w:spacing w:after="0" w:line="276" w:lineRule="auto"/>
      <w:ind w:left="738" w:right="284" w:hanging="454"/>
    </w:pPr>
    <w:rPr>
      <w:rFonts w:ascii="PT Astra Serif" w:hAnsi="PT Astra Serif" w:eastAsia="SimSun" w:cs="Times New Roman"/>
      <w:kern w:val="0"/>
      <w:sz w:val="24"/>
      <w:szCs w:val="24"/>
      <w:lang w:val="ru-RU" w:eastAsia="ru-RU" w:bidi="ar-SA"/>
      <w14:ligatures w14:val="none"/>
    </w:rPr>
  </w:style>
  <w:style w:type="paragraph" w:styleId="30">
    <w:name w:val="toc 4"/>
    <w:basedOn w:val="1"/>
    <w:next w:val="1"/>
    <w:autoRedefine/>
    <w:qFormat/>
    <w:uiPriority w:val="39"/>
    <w:pPr>
      <w:tabs>
        <w:tab w:val="right" w:leader="dot" w:pos="9633"/>
      </w:tabs>
      <w:spacing w:line="276" w:lineRule="auto"/>
      <w:ind w:left="1758" w:hanging="907"/>
      <w:jc w:val="left"/>
    </w:pPr>
    <w:rPr>
      <w:rFonts w:ascii="PT Astra Serif" w:hAnsi="PT Astra Serif" w:eastAsia="SimSun"/>
    </w:rPr>
  </w:style>
  <w:style w:type="paragraph" w:styleId="31">
    <w:name w:val="toc 5"/>
    <w:next w:val="1"/>
    <w:autoRedefine/>
    <w:qFormat/>
    <w:uiPriority w:val="39"/>
    <w:pPr>
      <w:pBdr>
        <w:between w:val="double" w:color="auto" w:sz="6" w:space="1"/>
      </w:pBdr>
      <w:spacing w:after="0" w:line="276" w:lineRule="auto"/>
      <w:ind w:left="1644" w:right="397" w:hanging="1644"/>
    </w:pPr>
    <w:rPr>
      <w:rFonts w:ascii="Times New Roman" w:hAnsi="Times New Roman" w:eastAsia="Times New Roman" w:cs="Times New Roman"/>
      <w:kern w:val="0"/>
      <w:sz w:val="24"/>
      <w:szCs w:val="24"/>
      <w:lang w:val="en-US" w:eastAsia="ru-RU" w:bidi="ar-SA"/>
      <w14:ligatures w14:val="none"/>
    </w:rPr>
  </w:style>
  <w:style w:type="paragraph" w:styleId="32">
    <w:name w:val="Body Text Indent"/>
    <w:basedOn w:val="1"/>
    <w:link w:val="92"/>
    <w:qFormat/>
    <w:uiPriority w:val="0"/>
    <w:pPr>
      <w:spacing w:line="360" w:lineRule="auto"/>
      <w:ind w:firstLine="709"/>
    </w:pPr>
    <w:rPr>
      <w:rFonts w:ascii="Times New Roman" w:hAnsi="Times New Roman"/>
    </w:rPr>
  </w:style>
  <w:style w:type="paragraph" w:styleId="33">
    <w:name w:val="footer"/>
    <w:basedOn w:val="1"/>
    <w:link w:val="70"/>
    <w:unhideWhenUsed/>
    <w:qFormat/>
    <w:uiPriority w:val="1"/>
    <w:pPr>
      <w:tabs>
        <w:tab w:val="center" w:pos="4677"/>
        <w:tab w:val="right" w:pos="9355"/>
      </w:tabs>
    </w:pPr>
  </w:style>
  <w:style w:type="paragraph" w:styleId="34">
    <w:name w:val="Normal (Web)"/>
    <w:basedOn w:val="1"/>
    <w:semiHidden/>
    <w:unhideWhenUsed/>
    <w:qFormat/>
    <w:uiPriority w:val="99"/>
    <w:pPr>
      <w:spacing w:before="100" w:beforeAutospacing="1" w:after="100" w:afterAutospacing="1"/>
      <w:jc w:val="left"/>
    </w:pPr>
    <w:rPr>
      <w:rFonts w:ascii="Times New Roman" w:hAnsi="Times New Roman"/>
    </w:rPr>
  </w:style>
  <w:style w:type="table" w:styleId="35">
    <w:name w:val="Table Grid 1"/>
    <w:basedOn w:val="12"/>
    <w:qFormat/>
    <w:uiPriority w:val="0"/>
    <w:pPr>
      <w:spacing w:after="0" w:line="240" w:lineRule="auto"/>
      <w:jc w:val="both"/>
    </w:pPr>
    <w:rPr>
      <w:rFonts w:ascii="Times New Roman" w:hAnsi="Times New Roman" w:eastAsia="SimSun" w:cs="Times New Roman"/>
      <w:kern w:val="0"/>
      <w:sz w:val="20"/>
      <w:szCs w:val="20"/>
      <w:lang w:eastAsia="zh-CN"/>
      <w14:ligatures w14:val="none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36">
    <w:name w:val="Table Grid"/>
    <w:basedOn w:val="12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37">
    <w:name w:val="_РТК_1"/>
    <w:next w:val="1"/>
    <w:qFormat/>
    <w:uiPriority w:val="0"/>
    <w:pPr>
      <w:keepNext/>
      <w:pageBreakBefore/>
      <w:numPr>
        <w:ilvl w:val="0"/>
        <w:numId w:val="3"/>
      </w:numPr>
      <w:suppressAutoHyphens/>
      <w:spacing w:before="360" w:after="240" w:line="276" w:lineRule="auto"/>
      <w:jc w:val="both"/>
      <w:outlineLvl w:val="0"/>
    </w:pPr>
    <w:rPr>
      <w:rFonts w:ascii="PT Astra Serif" w:hAnsi="PT Astra Serif" w:eastAsia="Times New Roman" w:cs="Times New Roman"/>
      <w:b/>
      <w:kern w:val="0"/>
      <w:sz w:val="28"/>
      <w:szCs w:val="28"/>
      <w:shd w:val="clear" w:color="auto" w:fill="FFFFFF"/>
      <w:lang w:val="ru-RU" w:eastAsia="ru-RU" w:bidi="ar-SA"/>
      <w14:ligatures w14:val="none"/>
    </w:rPr>
  </w:style>
  <w:style w:type="paragraph" w:customStyle="1" w:styleId="38">
    <w:name w:val="_РТК_1.1"/>
    <w:qFormat/>
    <w:uiPriority w:val="0"/>
    <w:pPr>
      <w:keepNext/>
      <w:numPr>
        <w:ilvl w:val="1"/>
        <w:numId w:val="3"/>
      </w:numPr>
      <w:suppressAutoHyphens/>
      <w:spacing w:before="240" w:after="120" w:line="276" w:lineRule="auto"/>
      <w:jc w:val="both"/>
      <w:outlineLvl w:val="1"/>
    </w:pPr>
    <w:rPr>
      <w:rFonts w:ascii="PT Astra Serif" w:hAnsi="PT Astra Serif" w:eastAsia="Times New Roman" w:cs="Times New Roman"/>
      <w:b/>
      <w:kern w:val="0"/>
      <w:sz w:val="26"/>
      <w:szCs w:val="28"/>
      <w:shd w:val="clear" w:color="auto" w:fill="FFFFFF"/>
      <w:lang w:val="ru-RU" w:eastAsia="ru-RU" w:bidi="ar-SA"/>
      <w14:ligatures w14:val="none"/>
    </w:rPr>
  </w:style>
  <w:style w:type="paragraph" w:customStyle="1" w:styleId="39">
    <w:name w:val="_РТК_1.1.1"/>
    <w:qFormat/>
    <w:uiPriority w:val="0"/>
    <w:pPr>
      <w:keepNext/>
      <w:numPr>
        <w:ilvl w:val="2"/>
        <w:numId w:val="3"/>
      </w:numPr>
      <w:suppressAutoHyphens/>
      <w:spacing w:before="120" w:after="0" w:line="276" w:lineRule="auto"/>
      <w:ind w:left="0"/>
      <w:jc w:val="both"/>
      <w:outlineLvl w:val="2"/>
    </w:pPr>
    <w:rPr>
      <w:rFonts w:ascii="PT Astra Serif" w:hAnsi="PT Astra Serif" w:eastAsia="Times New Roman" w:cs="Times New Roman"/>
      <w:kern w:val="0"/>
      <w:sz w:val="24"/>
      <w:szCs w:val="28"/>
      <w:shd w:val="clear" w:color="auto" w:fill="FFFFFF"/>
      <w:lang w:val="ru-RU" w:eastAsia="ru-RU" w:bidi="ar-SA"/>
      <w14:ligatures w14:val="none"/>
    </w:rPr>
  </w:style>
  <w:style w:type="paragraph" w:customStyle="1" w:styleId="40">
    <w:name w:val="_РТК_1.1.1.1"/>
    <w:qFormat/>
    <w:uiPriority w:val="0"/>
    <w:pPr>
      <w:keepNext/>
      <w:numPr>
        <w:ilvl w:val="3"/>
        <w:numId w:val="3"/>
      </w:numPr>
      <w:suppressAutoHyphens/>
      <w:spacing w:before="120" w:after="60" w:line="276" w:lineRule="auto"/>
      <w:jc w:val="both"/>
      <w:outlineLvl w:val="3"/>
    </w:pPr>
    <w:rPr>
      <w:rFonts w:ascii="PT Astra Serif" w:hAnsi="PT Astra Serif" w:eastAsia="Times New Roman" w:cs="Times New Roman"/>
      <w:kern w:val="0"/>
      <w:sz w:val="24"/>
      <w:szCs w:val="28"/>
      <w:shd w:val="clear" w:color="auto" w:fill="FFFFFF"/>
      <w:lang w:val="ru-RU" w:eastAsia="ru-RU" w:bidi="ar-SA"/>
      <w14:ligatures w14:val="none"/>
    </w:rPr>
  </w:style>
  <w:style w:type="paragraph" w:customStyle="1" w:styleId="41">
    <w:name w:val="_РТК_Сноска"/>
    <w:basedOn w:val="1"/>
    <w:qFormat/>
    <w:uiPriority w:val="0"/>
    <w:pPr>
      <w:ind w:firstLine="709"/>
    </w:pPr>
    <w:rPr>
      <w:rFonts w:ascii="PT Astra Serif" w:hAnsi="PT Astra Serif"/>
      <w:sz w:val="22"/>
    </w:rPr>
  </w:style>
  <w:style w:type="paragraph" w:customStyle="1" w:styleId="42">
    <w:name w:val="_РТК_Титул_14_документ"/>
    <w:qFormat/>
    <w:uiPriority w:val="0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 w:eastAsiaTheme="minorHAnsi" w:cstheme="minorBidi"/>
      <w:kern w:val="0"/>
      <w:sz w:val="28"/>
      <w:szCs w:val="24"/>
      <w:lang w:val="ru-RU" w:eastAsia="en-US" w:bidi="ar-SA"/>
      <w14:ligatures w14:val="none"/>
    </w:rPr>
  </w:style>
  <w:style w:type="paragraph" w:customStyle="1" w:styleId="43">
    <w:name w:val="_РТК_0_Заголовок_б/н"/>
    <w:qFormat/>
    <w:uiPriority w:val="0"/>
    <w:pPr>
      <w:keepNext/>
      <w:pageBreakBefore/>
      <w:spacing w:before="240" w:after="120" w:line="276" w:lineRule="auto"/>
      <w:jc w:val="center"/>
    </w:pPr>
    <w:rPr>
      <w:rFonts w:ascii="PT Astra Serif" w:hAnsi="PT Astra Serif" w:eastAsia="Times New Roman" w:cs="Times New Roman"/>
      <w:b/>
      <w:kern w:val="0"/>
      <w:sz w:val="28"/>
      <w:szCs w:val="20"/>
      <w:lang w:val="ru-RU" w:eastAsia="ru-RU" w:bidi="ar-SA"/>
      <w14:ligatures w14:val="none"/>
    </w:rPr>
  </w:style>
  <w:style w:type="paragraph" w:customStyle="1" w:styleId="44">
    <w:name w:val="_РТК_Основной"/>
    <w:qFormat/>
    <w:uiPriority w:val="0"/>
    <w:pPr>
      <w:suppressAutoHyphens/>
      <w:spacing w:after="0" w:line="276" w:lineRule="auto"/>
      <w:ind w:firstLine="709"/>
      <w:jc w:val="both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  <w14:ligatures w14:val="none"/>
    </w:rPr>
  </w:style>
  <w:style w:type="paragraph" w:customStyle="1" w:styleId="45">
    <w:name w:val="_РТК_подводка"/>
    <w:qFormat/>
    <w:uiPriority w:val="0"/>
    <w:pPr>
      <w:keepNext/>
      <w:suppressAutoHyphens/>
      <w:spacing w:after="120" w:line="276" w:lineRule="auto"/>
      <w:ind w:firstLine="709"/>
      <w:jc w:val="both"/>
    </w:pPr>
    <w:rPr>
      <w:rFonts w:ascii="PT Astra Serif" w:hAnsi="PT Astra Serif" w:eastAsia="Times New Roman" w:cs="Times New Roman"/>
      <w:bCs/>
      <w:kern w:val="0"/>
      <w:sz w:val="24"/>
      <w:szCs w:val="28"/>
      <w:shd w:val="clear" w:color="auto" w:fill="FFFFFF"/>
      <w:lang w:val="ru-RU" w:eastAsia="ru-RU" w:bidi="ar-SA"/>
      <w14:ligatures w14:val="none"/>
    </w:rPr>
  </w:style>
  <w:style w:type="paragraph" w:customStyle="1" w:styleId="46">
    <w:name w:val="_РТК_Примечание"/>
    <w:qFormat/>
    <w:uiPriority w:val="0"/>
    <w:pPr>
      <w:suppressAutoHyphens/>
      <w:spacing w:after="60" w:line="240" w:lineRule="auto"/>
      <w:ind w:firstLine="709"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  <w14:ligatures w14:val="none"/>
    </w:rPr>
  </w:style>
  <w:style w:type="character" w:customStyle="1" w:styleId="47">
    <w:name w:val="_РТК_разрядка"/>
    <w:basedOn w:val="11"/>
    <w:qFormat/>
    <w:uiPriority w:val="0"/>
    <w:rPr>
      <w:rFonts w:ascii="PT Astra Serif" w:hAnsi="PT Astra Serif"/>
      <w:spacing w:val="40"/>
    </w:rPr>
  </w:style>
  <w:style w:type="paragraph" w:customStyle="1" w:styleId="48">
    <w:name w:val="_РТК_Рисунок_место"/>
    <w:next w:val="49"/>
    <w:qFormat/>
    <w:uiPriority w:val="0"/>
    <w:pPr>
      <w:keepNext/>
      <w:suppressAutoHyphens/>
      <w:spacing w:before="240" w:after="120" w:line="240" w:lineRule="auto"/>
      <w:jc w:val="center"/>
    </w:pPr>
    <w:rPr>
      <w:rFonts w:ascii="PT Astra Serif" w:hAnsi="PT Astra Serif" w:eastAsia="Times New Roman" w:cs="Times New Roman"/>
      <w:bCs/>
      <w:kern w:val="0"/>
      <w:sz w:val="24"/>
      <w:szCs w:val="28"/>
      <w:shd w:val="clear" w:color="auto" w:fill="FFFFFF"/>
      <w:lang w:val="ru-RU" w:eastAsia="ru-RU" w:bidi="ar-SA"/>
      <w14:ligatures w14:val="none"/>
    </w:rPr>
  </w:style>
  <w:style w:type="paragraph" w:customStyle="1" w:styleId="49">
    <w:name w:val="_РТК_Рисунок_номер"/>
    <w:qFormat/>
    <w:uiPriority w:val="0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 w:eastAsiaTheme="minorHAnsi" w:cstheme="minorBidi"/>
      <w:iCs/>
      <w:kern w:val="0"/>
      <w:sz w:val="24"/>
      <w:szCs w:val="18"/>
      <w:lang w:val="ru-RU" w:eastAsia="en-US" w:bidi="ar-SA"/>
      <w14:ligatures w14:val="none"/>
    </w:rPr>
  </w:style>
  <w:style w:type="paragraph" w:customStyle="1" w:styleId="50">
    <w:name w:val="_РТК_СПИСОК_123)_1ур"/>
    <w:qFormat/>
    <w:uiPriority w:val="0"/>
    <w:pPr>
      <w:numPr>
        <w:ilvl w:val="0"/>
        <w:numId w:val="4"/>
      </w:numPr>
      <w:suppressAutoHyphens/>
      <w:spacing w:after="0" w:line="276" w:lineRule="auto"/>
      <w:jc w:val="both"/>
    </w:pPr>
    <w:rPr>
      <w:rFonts w:ascii="PT Astra Serif" w:hAnsi="PT Astra Serif" w:eastAsia="Times New Roman" w:cs="Times New Roman"/>
      <w:bCs/>
      <w:kern w:val="0"/>
      <w:sz w:val="24"/>
      <w:szCs w:val="28"/>
      <w:shd w:val="clear" w:color="auto" w:fill="FFFFFF"/>
      <w:lang w:val="ru-RU" w:eastAsia="ru-RU" w:bidi="ar-SA"/>
      <w14:ligatures w14:val="none"/>
    </w:rPr>
  </w:style>
  <w:style w:type="paragraph" w:customStyle="1" w:styleId="51">
    <w:name w:val="_РТК_СПИСОК_марк_1ур"/>
    <w:qFormat/>
    <w:uiPriority w:val="0"/>
    <w:pPr>
      <w:numPr>
        <w:ilvl w:val="0"/>
        <w:numId w:val="5"/>
      </w:numPr>
      <w:suppressAutoHyphens/>
      <w:spacing w:after="0" w:line="276" w:lineRule="auto"/>
      <w:ind w:left="0"/>
      <w:jc w:val="both"/>
    </w:pPr>
    <w:rPr>
      <w:rFonts w:ascii="PT Astra Serif" w:hAnsi="PT Astra Serif" w:eastAsia="Times New Roman" w:cs="Times New Roman"/>
      <w:kern w:val="0"/>
      <w:sz w:val="24"/>
      <w:szCs w:val="28"/>
      <w:lang w:val="ru-RU" w:eastAsia="ru-RU" w:bidi="ar-SA"/>
      <w14:ligatures w14:val="none"/>
    </w:rPr>
  </w:style>
  <w:style w:type="paragraph" w:customStyle="1" w:styleId="52">
    <w:name w:val="_РТК_Список_марк_2ур_дефис после 123)"/>
    <w:qFormat/>
    <w:uiPriority w:val="0"/>
    <w:pPr>
      <w:numPr>
        <w:ilvl w:val="0"/>
        <w:numId w:val="6"/>
      </w:numPr>
      <w:suppressAutoHyphens/>
      <w:spacing w:after="0" w:line="276" w:lineRule="auto"/>
      <w:jc w:val="both"/>
    </w:pPr>
    <w:rPr>
      <w:rFonts w:ascii="PT Astra Serif" w:hAnsi="PT Astra Serif" w:eastAsia="Times New Roman" w:cs="Times New Roman"/>
      <w:kern w:val="0"/>
      <w:sz w:val="24"/>
      <w:szCs w:val="28"/>
      <w:lang w:val="ru-RU" w:eastAsia="ru-RU" w:bidi="ar-SA"/>
      <w14:ligatures w14:val="none"/>
    </w:rPr>
  </w:style>
  <w:style w:type="paragraph" w:customStyle="1" w:styleId="53">
    <w:name w:val="_РТК_Таблица_12_заголовок"/>
    <w:qFormat/>
    <w:uiPriority w:val="0"/>
    <w:pPr>
      <w:keepNext/>
      <w:suppressAutoHyphens/>
      <w:spacing w:before="60" w:after="60" w:line="240" w:lineRule="auto"/>
      <w:jc w:val="center"/>
    </w:pPr>
    <w:rPr>
      <w:rFonts w:ascii="PT Astra Serif" w:hAnsi="PT Astra Serif" w:eastAsiaTheme="minorHAnsi" w:cstheme="minorBidi"/>
      <w:kern w:val="0"/>
      <w:sz w:val="24"/>
      <w:szCs w:val="24"/>
      <w:lang w:val="ru-RU" w:eastAsia="en-US" w:bidi="ar-SA"/>
      <w14:ligatures w14:val="none"/>
    </w:rPr>
  </w:style>
  <w:style w:type="paragraph" w:customStyle="1" w:styleId="54">
    <w:name w:val="_РТК_Таблица_12_слева"/>
    <w:qFormat/>
    <w:uiPriority w:val="0"/>
    <w:pPr>
      <w:suppressAutoHyphens/>
      <w:spacing w:after="0" w:line="240" w:lineRule="auto"/>
    </w:pPr>
    <w:rPr>
      <w:rFonts w:ascii="PT Astra Serif" w:hAnsi="PT Astra Serif" w:eastAsia="Calibri" w:cs="Times New Roman"/>
      <w:spacing w:val="-2"/>
      <w:kern w:val="0"/>
      <w:sz w:val="24"/>
      <w:szCs w:val="24"/>
      <w:lang w:val="ru-RU" w:eastAsia="en-US" w:bidi="ar-SA"/>
      <w14:ligatures w14:val="none"/>
    </w:rPr>
  </w:style>
  <w:style w:type="paragraph" w:customStyle="1" w:styleId="55">
    <w:name w:val="_РТК_Таблица_12_справа"/>
    <w:link w:val="56"/>
    <w:qFormat/>
    <w:uiPriority w:val="0"/>
    <w:pPr>
      <w:suppressAutoHyphens/>
      <w:spacing w:after="0" w:line="240" w:lineRule="auto"/>
      <w:jc w:val="right"/>
    </w:pPr>
    <w:rPr>
      <w:rFonts w:ascii="PT Astra Serif" w:hAnsi="PT Astra Serif" w:eastAsia="Calibri" w:cs="Times New Roman"/>
      <w:spacing w:val="-2"/>
      <w:kern w:val="0"/>
      <w:sz w:val="24"/>
      <w:szCs w:val="24"/>
      <w:lang w:val="ru-RU" w:eastAsia="en-US" w:bidi="ar-SA"/>
      <w14:ligatures w14:val="none"/>
    </w:rPr>
  </w:style>
  <w:style w:type="character" w:customStyle="1" w:styleId="56">
    <w:name w:val="_РТК_Таблица_12_справа Знак"/>
    <w:basedOn w:val="11"/>
    <w:link w:val="55"/>
    <w:qFormat/>
    <w:uiPriority w:val="0"/>
    <w:rPr>
      <w:rFonts w:ascii="PT Astra Serif" w:hAnsi="PT Astra Serif" w:eastAsia="Calibri" w:cs="Times New Roman"/>
      <w:spacing w:val="-2"/>
      <w:kern w:val="0"/>
      <w:sz w:val="24"/>
      <w:szCs w:val="24"/>
      <w14:ligatures w14:val="none"/>
    </w:rPr>
  </w:style>
  <w:style w:type="paragraph" w:customStyle="1" w:styleId="57">
    <w:name w:val="_РТК_Таблица_12_центр"/>
    <w:qFormat/>
    <w:uiPriority w:val="0"/>
    <w:pPr>
      <w:suppressAutoHyphens/>
      <w:spacing w:after="0" w:line="240" w:lineRule="auto"/>
      <w:jc w:val="center"/>
    </w:pPr>
    <w:rPr>
      <w:rFonts w:ascii="PT Astra Serif" w:hAnsi="PT Astra Serif" w:eastAsia="Calibri" w:cs="Times New Roman"/>
      <w:spacing w:val="-2"/>
      <w:kern w:val="0"/>
      <w:sz w:val="24"/>
      <w:szCs w:val="24"/>
      <w:lang w:val="ru-RU" w:eastAsia="en-US" w:bidi="ar-SA"/>
      <w14:ligatures w14:val="none"/>
    </w:rPr>
  </w:style>
  <w:style w:type="paragraph" w:customStyle="1" w:styleId="58">
    <w:name w:val="_РТК_Титул_14_ПП_центр"/>
    <w:qFormat/>
    <w:uiPriority w:val="0"/>
    <w:pPr>
      <w:spacing w:before="120" w:after="120" w:line="276" w:lineRule="auto"/>
      <w:contextualSpacing/>
      <w:jc w:val="center"/>
    </w:pPr>
    <w:rPr>
      <w:rFonts w:ascii="PT Astra Serif" w:hAnsi="PT Astra Serif" w:eastAsia="Times New Roman" w:cs="Times New Roman"/>
      <w:caps/>
      <w:spacing w:val="20"/>
      <w:kern w:val="0"/>
      <w:sz w:val="28"/>
      <w:szCs w:val="28"/>
      <w:shd w:val="clear" w:color="auto" w:fill="FFFFFF"/>
      <w:lang w:val="ru-RU" w:eastAsia="ru-RU" w:bidi="ar-SA"/>
      <w14:ligatures w14:val="none"/>
    </w:rPr>
  </w:style>
  <w:style w:type="paragraph" w:customStyle="1" w:styleId="59">
    <w:name w:val="_РТК_Таблица_14_центр"/>
    <w:qFormat/>
    <w:uiPriority w:val="0"/>
    <w:pPr>
      <w:spacing w:after="0" w:line="240" w:lineRule="auto"/>
      <w:jc w:val="center"/>
    </w:pPr>
    <w:rPr>
      <w:rFonts w:ascii="PT Astra Serif" w:hAnsi="PT Astra Serif" w:eastAsia="Times New Roman" w:cs="Times New Roman"/>
      <w:kern w:val="0"/>
      <w:sz w:val="28"/>
      <w:szCs w:val="28"/>
      <w:shd w:val="clear" w:color="auto" w:fill="FFFFFF"/>
      <w:lang w:val="ru-RU" w:eastAsia="ru-RU" w:bidi="ar-SA"/>
      <w14:ligatures w14:val="none"/>
    </w:rPr>
  </w:style>
  <w:style w:type="character" w:styleId="60">
    <w:name w:val="Placeholder Text"/>
    <w:basedOn w:val="11"/>
    <w:semiHidden/>
    <w:qFormat/>
    <w:uiPriority w:val="99"/>
    <w:rPr>
      <w:color w:val="808080"/>
    </w:rPr>
  </w:style>
  <w:style w:type="character" w:customStyle="1" w:styleId="61">
    <w:name w:val="Верхний колонтитул Знак"/>
    <w:basedOn w:val="11"/>
    <w:link w:val="23"/>
    <w:qFormat/>
    <w:uiPriority w:val="99"/>
    <w:rPr>
      <w:rFonts w:eastAsia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62">
    <w:name w:val="Заголовок 1 Знак"/>
    <w:basedOn w:val="11"/>
    <w:link w:val="2"/>
    <w:qFormat/>
    <w:uiPriority w:val="1"/>
    <w:rPr>
      <w:rFonts w:eastAsia="SimSun" w:cs="Times New Roman"/>
      <w:b/>
      <w:bCs/>
      <w:caps/>
      <w:kern w:val="32"/>
      <w:sz w:val="32"/>
      <w:szCs w:val="32"/>
      <w:shd w:val="clear" w:color="auto" w:fill="FFFFFF"/>
      <w:lang w:eastAsia="ru-RU"/>
      <w14:ligatures w14:val="none"/>
    </w:rPr>
  </w:style>
  <w:style w:type="character" w:customStyle="1" w:styleId="63">
    <w:name w:val="Заголовок 2 Знак"/>
    <w:basedOn w:val="11"/>
    <w:link w:val="3"/>
    <w:qFormat/>
    <w:uiPriority w:val="1"/>
    <w:rPr>
      <w:rFonts w:eastAsia="SimSun" w:cs="Times New Roman"/>
      <w:b/>
      <w:bCs/>
      <w:iCs/>
      <w:kern w:val="0"/>
      <w:sz w:val="28"/>
      <w:szCs w:val="28"/>
      <w:shd w:val="clear" w:color="auto" w:fill="FFFFFF"/>
      <w:lang w:eastAsia="ru-RU"/>
      <w14:ligatures w14:val="none"/>
    </w:rPr>
  </w:style>
  <w:style w:type="character" w:customStyle="1" w:styleId="64">
    <w:name w:val="Заголовок 3 Знак"/>
    <w:basedOn w:val="11"/>
    <w:link w:val="4"/>
    <w:qFormat/>
    <w:uiPriority w:val="1"/>
    <w:rPr>
      <w:rFonts w:eastAsia="SimSun" w:cs="Times New Roman"/>
      <w:b/>
      <w:bCs/>
      <w:kern w:val="0"/>
      <w:sz w:val="24"/>
      <w:szCs w:val="26"/>
      <w:shd w:val="clear" w:color="auto" w:fill="FFFFFF"/>
      <w:lang w:eastAsia="ru-RU"/>
      <w14:ligatures w14:val="none"/>
    </w:rPr>
  </w:style>
  <w:style w:type="character" w:customStyle="1" w:styleId="65">
    <w:name w:val="Заголовок 4 Знак"/>
    <w:basedOn w:val="11"/>
    <w:link w:val="5"/>
    <w:qFormat/>
    <w:uiPriority w:val="1"/>
    <w:rPr>
      <w:rFonts w:eastAsia="SimSun" w:cs="Times New Roman"/>
      <w:b/>
      <w:bCs/>
      <w:kern w:val="0"/>
      <w:sz w:val="24"/>
      <w:szCs w:val="26"/>
      <w:shd w:val="clear" w:color="auto" w:fill="FFFFFF"/>
      <w:lang w:eastAsia="ru-RU"/>
      <w14:ligatures w14:val="none"/>
    </w:rPr>
  </w:style>
  <w:style w:type="character" w:customStyle="1" w:styleId="66">
    <w:name w:val="Заголовок 6 Знак"/>
    <w:basedOn w:val="11"/>
    <w:link w:val="7"/>
    <w:qFormat/>
    <w:uiPriority w:val="1"/>
    <w:rPr>
      <w:rFonts w:ascii="Arial" w:hAnsi="Arial" w:eastAsia="SimSun" w:cs="Times New Roman"/>
      <w:b/>
      <w:bCs/>
      <w:kern w:val="0"/>
      <w:szCs w:val="24"/>
      <w:lang w:eastAsia="ru-RU"/>
      <w14:ligatures w14:val="none"/>
    </w:rPr>
  </w:style>
  <w:style w:type="character" w:customStyle="1" w:styleId="67">
    <w:name w:val="Заголовок 7 Знак"/>
    <w:basedOn w:val="11"/>
    <w:link w:val="8"/>
    <w:qFormat/>
    <w:uiPriority w:val="1"/>
    <w:rPr>
      <w:rFonts w:ascii="Arial" w:hAnsi="Arial" w:eastAsia="SimSun" w:cs="Times New Roman"/>
      <w:b/>
      <w:bCs/>
      <w:kern w:val="0"/>
      <w:szCs w:val="20"/>
      <w:lang w:eastAsia="ru-RU"/>
      <w14:ligatures w14:val="none"/>
    </w:rPr>
  </w:style>
  <w:style w:type="character" w:customStyle="1" w:styleId="68">
    <w:name w:val="Заголовок 8 Знак"/>
    <w:basedOn w:val="11"/>
    <w:link w:val="9"/>
    <w:qFormat/>
    <w:uiPriority w:val="1"/>
    <w:rPr>
      <w:rFonts w:ascii="Arial" w:hAnsi="Arial" w:eastAsia="SimSun" w:cs="Times New Roman"/>
      <w:b/>
      <w:kern w:val="0"/>
      <w:szCs w:val="20"/>
      <w:lang w:eastAsia="ru-RU"/>
      <w14:ligatures w14:val="none"/>
    </w:rPr>
  </w:style>
  <w:style w:type="character" w:customStyle="1" w:styleId="69">
    <w:name w:val="Заголовок 9 Знак"/>
    <w:basedOn w:val="11"/>
    <w:link w:val="10"/>
    <w:qFormat/>
    <w:uiPriority w:val="1"/>
    <w:rPr>
      <w:rFonts w:ascii="Arial" w:hAnsi="Arial" w:eastAsia="SimSun" w:cs="Times New Roman"/>
      <w:b/>
      <w:kern w:val="0"/>
      <w:szCs w:val="20"/>
      <w:lang w:eastAsia="ru-RU"/>
      <w14:ligatures w14:val="none"/>
    </w:rPr>
  </w:style>
  <w:style w:type="character" w:customStyle="1" w:styleId="70">
    <w:name w:val="Нижний колонтитул Знак"/>
    <w:basedOn w:val="11"/>
    <w:link w:val="33"/>
    <w:qFormat/>
    <w:uiPriority w:val="1"/>
    <w:rPr>
      <w:rFonts w:eastAsia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71">
    <w:name w:val="_РТК_2"/>
    <w:basedOn w:val="54"/>
    <w:qFormat/>
    <w:uiPriority w:val="0"/>
    <w:rPr>
      <w:sz w:val="4"/>
    </w:rPr>
  </w:style>
  <w:style w:type="paragraph" w:customStyle="1" w:styleId="72">
    <w:name w:val="_РТК_0_Заголовок_б/н_содерж"/>
    <w:qFormat/>
    <w:uiPriority w:val="0"/>
    <w:pPr>
      <w:keepNext/>
      <w:pageBreakBefore/>
      <w:suppressAutoHyphens/>
      <w:spacing w:before="120" w:after="360" w:line="240" w:lineRule="auto"/>
      <w:jc w:val="center"/>
      <w:outlineLvl w:val="0"/>
    </w:pPr>
    <w:rPr>
      <w:rFonts w:ascii="PT Astra Serif" w:hAnsi="PT Astra Serif" w:eastAsia="SimSun" w:cs="Times New Roman"/>
      <w:b/>
      <w:bCs/>
      <w:kern w:val="0"/>
      <w:sz w:val="28"/>
      <w:szCs w:val="28"/>
      <w:lang w:val="ru-RU" w:eastAsia="ru-RU" w:bidi="ar-SA"/>
      <w14:ligatures w14:val="none"/>
    </w:rPr>
  </w:style>
  <w:style w:type="paragraph" w:customStyle="1" w:styleId="73">
    <w:name w:val="_РТК_Список_марк_точка_3ур"/>
    <w:basedOn w:val="44"/>
    <w:qFormat/>
    <w:uiPriority w:val="0"/>
    <w:pPr>
      <w:numPr>
        <w:ilvl w:val="0"/>
        <w:numId w:val="7"/>
      </w:numPr>
    </w:pPr>
  </w:style>
  <w:style w:type="character" w:customStyle="1" w:styleId="74">
    <w:name w:val="Текст сноски Знак"/>
    <w:basedOn w:val="11"/>
    <w:link w:val="21"/>
    <w:semiHidden/>
    <w:qFormat/>
    <w:uiPriority w:val="1"/>
    <w:rPr>
      <w:rFonts w:eastAsia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75">
    <w:name w:val="Текст примечания Знак"/>
    <w:basedOn w:val="11"/>
    <w:link w:val="19"/>
    <w:qFormat/>
    <w:uiPriority w:val="0"/>
    <w:rPr>
      <w:rFonts w:eastAsia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76">
    <w:name w:val="Тема примечания Знак"/>
    <w:basedOn w:val="11"/>
    <w:link w:val="20"/>
    <w:semiHidden/>
    <w:qFormat/>
    <w:uiPriority w:val="1"/>
    <w:rPr>
      <w:rFonts w:ascii="PT Astra Serif" w:hAnsi="PT Astra Serif" w:eastAsia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customStyle="1" w:styleId="77">
    <w:name w:val="_РТК_Список_марк_точка_2ур"/>
    <w:qFormat/>
    <w:uiPriority w:val="0"/>
    <w:pPr>
      <w:numPr>
        <w:ilvl w:val="0"/>
        <w:numId w:val="8"/>
      </w:numPr>
      <w:suppressAutoHyphens/>
      <w:spacing w:after="0" w:line="276" w:lineRule="auto"/>
      <w:ind w:left="1077" w:hanging="170"/>
      <w:jc w:val="both"/>
    </w:pPr>
    <w:rPr>
      <w:rFonts w:ascii="PT Astra Serif" w:hAnsi="PT Astra Serif" w:eastAsia="SimSun" w:cs="Times New Roman"/>
      <w:kern w:val="0"/>
      <w:sz w:val="24"/>
      <w:szCs w:val="24"/>
      <w:lang w:val="ru-RU" w:eastAsia="ru-RU" w:bidi="ar-SA"/>
      <w14:ligatures w14:val="none"/>
    </w:rPr>
  </w:style>
  <w:style w:type="character" w:customStyle="1" w:styleId="78">
    <w:name w:val="Заголовок 5 Знак"/>
    <w:basedOn w:val="11"/>
    <w:link w:val="6"/>
    <w:semiHidden/>
    <w:qFormat/>
    <w:uiPriority w:val="1"/>
    <w:rPr>
      <w:rFonts w:ascii="Arial" w:hAnsi="Arial" w:eastAsia="Times New Roman" w:cs="Times New Roman"/>
      <w:b/>
      <w:bCs/>
      <w:iCs/>
      <w:kern w:val="0"/>
      <w:szCs w:val="26"/>
      <w:lang w:eastAsia="ru-RU"/>
      <w14:ligatures w14:val="none"/>
    </w:rPr>
  </w:style>
  <w:style w:type="paragraph" w:customStyle="1" w:styleId="79">
    <w:name w:val="_РТК_Таблица_номер"/>
    <w:qFormat/>
    <w:uiPriority w:val="0"/>
    <w:pPr>
      <w:keepNext/>
      <w:suppressAutoHyphens/>
      <w:spacing w:before="120" w:after="120" w:line="276" w:lineRule="auto"/>
      <w:ind w:left="1814" w:hanging="1814"/>
    </w:pPr>
    <w:rPr>
      <w:rFonts w:ascii="PT Astra Serif" w:hAnsi="PT Astra Serif" w:eastAsia="Times New Roman" w:cs="Times New Roman"/>
      <w:kern w:val="0"/>
      <w:sz w:val="24"/>
      <w:szCs w:val="24"/>
      <w:lang w:val="ru-RU" w:eastAsia="ru-RU" w:bidi="ar-SA"/>
      <w14:ligatures w14:val="none"/>
    </w:rPr>
  </w:style>
  <w:style w:type="paragraph" w:customStyle="1" w:styleId="80">
    <w:name w:val="Revision"/>
    <w:hidden/>
    <w:semiHidden/>
    <w:qFormat/>
    <w:uiPriority w:val="99"/>
    <w:pPr>
      <w:spacing w:after="0" w:line="240" w:lineRule="auto"/>
    </w:pPr>
    <w:rPr>
      <w:rFonts w:eastAsia="Times New Roman" w:cs="Times New Roman" w:asciiTheme="minorHAnsi" w:hAnsiTheme="minorHAnsi"/>
      <w:kern w:val="0"/>
      <w:sz w:val="24"/>
      <w:szCs w:val="24"/>
      <w:lang w:val="ru-RU" w:eastAsia="ru-RU" w:bidi="ar-SA"/>
      <w14:ligatures w14:val="none"/>
    </w:rPr>
  </w:style>
  <w:style w:type="character" w:customStyle="1" w:styleId="81">
    <w:name w:val="Unresolved Mention"/>
    <w:basedOn w:val="1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82">
    <w:name w:val="_РТК_Таблица_10_центр"/>
    <w:qFormat/>
    <w:uiPriority w:val="0"/>
    <w:pPr>
      <w:spacing w:after="0" w:line="276" w:lineRule="auto"/>
      <w:jc w:val="center"/>
    </w:pPr>
    <w:rPr>
      <w:rFonts w:ascii="PT Astra Serif" w:hAnsi="PT Astra Serif" w:eastAsia="SimSun" w:cs="Times New Roman"/>
      <w:bCs/>
      <w:kern w:val="0"/>
      <w:sz w:val="20"/>
      <w:szCs w:val="24"/>
      <w:lang w:val="ru-RU" w:eastAsia="ru-RU" w:bidi="ar-SA"/>
      <w14:ligatures w14:val="none"/>
    </w:rPr>
  </w:style>
  <w:style w:type="paragraph" w:customStyle="1" w:styleId="83">
    <w:name w:val="_РТК_Таблица_10_слева"/>
    <w:qFormat/>
    <w:uiPriority w:val="0"/>
    <w:pPr>
      <w:spacing w:after="0" w:line="240" w:lineRule="auto"/>
    </w:pPr>
    <w:rPr>
      <w:rFonts w:ascii="PT Astra Serif" w:hAnsi="PT Astra Serif" w:eastAsia="SimSun" w:cs="Times New Roman"/>
      <w:bCs/>
      <w:kern w:val="0"/>
      <w:sz w:val="20"/>
      <w:szCs w:val="24"/>
      <w:lang w:val="ru-RU" w:eastAsia="ru-RU" w:bidi="ar-SA"/>
      <w14:ligatures w14:val="none"/>
    </w:rPr>
  </w:style>
  <w:style w:type="paragraph" w:customStyle="1" w:styleId="84">
    <w:name w:val="_РТК_Таблица_10_Заголовок"/>
    <w:qFormat/>
    <w:uiPriority w:val="0"/>
    <w:pPr>
      <w:spacing w:after="0" w:line="240" w:lineRule="auto"/>
      <w:jc w:val="center"/>
    </w:pPr>
    <w:rPr>
      <w:rFonts w:ascii="PT Astra Serif" w:hAnsi="PT Astra Serif" w:eastAsia="SimSun" w:cs="Times New Roman"/>
      <w:bCs/>
      <w:kern w:val="0"/>
      <w:sz w:val="20"/>
      <w:szCs w:val="24"/>
      <w:lang w:val="ru-RU" w:eastAsia="ru-RU" w:bidi="ar-SA"/>
      <w14:ligatures w14:val="none"/>
    </w:rPr>
  </w:style>
  <w:style w:type="paragraph" w:styleId="85">
    <w:name w:val="List Paragraph"/>
    <w:basedOn w:val="1"/>
    <w:qFormat/>
    <w:uiPriority w:val="34"/>
    <w:pPr>
      <w:spacing w:line="276" w:lineRule="auto"/>
      <w:ind w:left="720"/>
      <w:contextualSpacing/>
      <w:jc w:val="left"/>
    </w:pPr>
    <w:rPr>
      <w:rFonts w:ascii="Times New Roman" w:hAnsi="Times New Roman"/>
    </w:rPr>
  </w:style>
  <w:style w:type="paragraph" w:customStyle="1" w:styleId="86">
    <w:name w:val="_РТК_Таблица_11_Заголовок"/>
    <w:qFormat/>
    <w:uiPriority w:val="0"/>
    <w:pPr>
      <w:spacing w:after="0" w:line="240" w:lineRule="auto"/>
      <w:jc w:val="center"/>
    </w:pPr>
    <w:rPr>
      <w:rFonts w:ascii="PT Astra Serif" w:hAnsi="PT Astra Serif" w:eastAsiaTheme="minorHAnsi" w:cstheme="minorBidi"/>
      <w:kern w:val="0"/>
      <w:sz w:val="22"/>
      <w:szCs w:val="24"/>
      <w:lang w:val="ru-RU" w:eastAsia="en-US" w:bidi="ar-SA"/>
      <w14:ligatures w14:val="none"/>
    </w:rPr>
  </w:style>
  <w:style w:type="paragraph" w:customStyle="1" w:styleId="87">
    <w:name w:val="_РТК_Таблица_11_марк"/>
    <w:qFormat/>
    <w:uiPriority w:val="0"/>
    <w:pPr>
      <w:numPr>
        <w:ilvl w:val="0"/>
        <w:numId w:val="9"/>
      </w:numPr>
      <w:spacing w:after="0" w:line="240" w:lineRule="auto"/>
    </w:pPr>
    <w:rPr>
      <w:rFonts w:ascii="PT Astra Serif" w:hAnsi="PT Astra Serif" w:eastAsia="SimSun" w:cs="Times New Roman"/>
      <w:kern w:val="0"/>
      <w:sz w:val="22"/>
      <w:szCs w:val="24"/>
      <w:lang w:val="ru-RU" w:eastAsia="ru-RU" w:bidi="ar-SA"/>
      <w14:ligatures w14:val="none"/>
    </w:rPr>
  </w:style>
  <w:style w:type="paragraph" w:customStyle="1" w:styleId="88">
    <w:name w:val="_РТК_Таблица_11_слева"/>
    <w:qFormat/>
    <w:uiPriority w:val="0"/>
    <w:pPr>
      <w:spacing w:after="0" w:line="240" w:lineRule="auto"/>
    </w:pPr>
    <w:rPr>
      <w:rFonts w:ascii="PT Astra Serif" w:hAnsi="PT Astra Serif" w:eastAsia="SimSun" w:cs="Times New Roman"/>
      <w:kern w:val="0"/>
      <w:sz w:val="22"/>
      <w:szCs w:val="24"/>
      <w:lang w:val="ru-RU" w:eastAsia="ru-RU" w:bidi="ar-SA"/>
      <w14:ligatures w14:val="none"/>
    </w:rPr>
  </w:style>
  <w:style w:type="paragraph" w:customStyle="1" w:styleId="89">
    <w:name w:val="_РТК_Таблица_11_центр"/>
    <w:qFormat/>
    <w:uiPriority w:val="0"/>
    <w:pPr>
      <w:spacing w:after="0" w:line="240" w:lineRule="auto"/>
      <w:jc w:val="center"/>
    </w:pPr>
    <w:rPr>
      <w:rFonts w:ascii="PT Astra Serif" w:hAnsi="PT Astra Serif" w:eastAsia="SimSun" w:cs="Times New Roman"/>
      <w:kern w:val="0"/>
      <w:sz w:val="22"/>
      <w:szCs w:val="24"/>
      <w:lang w:val="ru-RU" w:eastAsia="ru-RU" w:bidi="ar-SA"/>
      <w14:ligatures w14:val="none"/>
    </w:rPr>
  </w:style>
  <w:style w:type="paragraph" w:customStyle="1" w:styleId="90">
    <w:name w:val="_РТК_Приложение_А"/>
    <w:link w:val="91"/>
    <w:qFormat/>
    <w:uiPriority w:val="0"/>
    <w:pPr>
      <w:pageBreakBefore/>
      <w:spacing w:before="360" w:after="240" w:line="276" w:lineRule="auto"/>
      <w:jc w:val="center"/>
      <w:outlineLvl w:val="3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character" w:customStyle="1" w:styleId="91">
    <w:name w:val="_РТК_Приложение_А Знак"/>
    <w:basedOn w:val="11"/>
    <w:link w:val="90"/>
    <w:qFormat/>
    <w:uiPriority w:val="0"/>
    <w:rPr>
      <w:rFonts w:ascii="PT Astra Serif" w:hAnsi="PT Astra Serif" w:eastAsia="Times New Roman" w:cs="Times New Roman"/>
      <w:b/>
      <w:snapToGrid w:val="0"/>
      <w:sz w:val="28"/>
      <w:szCs w:val="24"/>
      <w:lang w:eastAsia="ru-RU"/>
    </w:rPr>
  </w:style>
  <w:style w:type="character" w:customStyle="1" w:styleId="92">
    <w:name w:val="Основной текст с отступом Знак"/>
    <w:basedOn w:val="11"/>
    <w:link w:val="32"/>
    <w:qFormat/>
    <w:uiPriority w:val="0"/>
    <w:rPr>
      <w:rFonts w:ascii="Times New Roman" w:hAnsi="Times New Roman" w:eastAsia="Times New Roman" w:cs="Times New Roman"/>
      <w:kern w:val="0"/>
      <w:sz w:val="24"/>
      <w:szCs w:val="24"/>
      <w:lang w:eastAsia="ru-RU"/>
      <w14:ligatures w14:val="none"/>
    </w:rPr>
  </w:style>
  <w:style w:type="paragraph" w:styleId="93">
    <w:name w:val="No Spacing"/>
    <w:qFormat/>
    <w:uiPriority w:val="1"/>
    <w:pPr>
      <w:spacing w:after="0" w:line="240" w:lineRule="auto"/>
      <w:jc w:val="both"/>
    </w:pPr>
    <w:rPr>
      <w:rFonts w:eastAsia="Times New Roman" w:cs="Times New Roman" w:asciiTheme="minorHAnsi" w:hAnsiTheme="minorHAnsi"/>
      <w:kern w:val="0"/>
      <w:sz w:val="24"/>
      <w:szCs w:val="24"/>
      <w:lang w:val="ru-RU" w:eastAsia="ru-RU" w:bidi="ar-SA"/>
      <w14:ligatures w14:val="none"/>
    </w:rPr>
  </w:style>
  <w:style w:type="paragraph" w:customStyle="1" w:styleId="94">
    <w:name w:val="_РТК_1.1.1.1.1"/>
    <w:basedOn w:val="40"/>
    <w:qFormat/>
    <w:uiPriority w:val="0"/>
    <w:pPr>
      <w:numPr>
        <w:ilvl w:val="0"/>
        <w:numId w:val="0"/>
      </w:numPr>
      <w:ind w:firstLine="709"/>
    </w:pPr>
    <w:rPr>
      <w:shd w:val="clear" w:color="auto" w:fill="auto"/>
    </w:rPr>
  </w:style>
  <w:style w:type="paragraph" w:customStyle="1" w:styleId="95">
    <w:name w:val="_РТК_Таблица_КЗ_марк"/>
    <w:qFormat/>
    <w:uiPriority w:val="0"/>
    <w:pPr>
      <w:widowControl w:val="0"/>
      <w:shd w:val="clear" w:color="auto" w:fill="FFFFFF"/>
      <w:spacing w:after="0" w:line="240" w:lineRule="auto"/>
      <w:ind w:left="340" w:hanging="227"/>
    </w:pPr>
    <w:rPr>
      <w:rFonts w:ascii="PT Astra Serif" w:hAnsi="PT Astra Serif" w:eastAsia="SimSun" w:cs="Times New Roman"/>
      <w:kern w:val="0"/>
      <w:sz w:val="24"/>
      <w:szCs w:val="24"/>
      <w:lang w:val="ru-RU" w:eastAsia="ru-RU" w:bidi="ar-SA"/>
      <w14:ligatures w14:val="none"/>
    </w:rPr>
  </w:style>
  <w:style w:type="paragraph" w:customStyle="1" w:styleId="96">
    <w:name w:val="_РТК_Таблица_КЗ_слева"/>
    <w:qFormat/>
    <w:uiPriority w:val="0"/>
    <w:pPr>
      <w:suppressAutoHyphens/>
      <w:spacing w:after="0" w:line="240" w:lineRule="auto"/>
    </w:pPr>
    <w:rPr>
      <w:rFonts w:ascii="PT Astra Serif" w:hAnsi="PT Astra Serif" w:eastAsia="Calibri" w:cs="Times New Roman"/>
      <w:spacing w:val="-2"/>
      <w:kern w:val="0"/>
      <w:sz w:val="24"/>
      <w:szCs w:val="24"/>
      <w:lang w:val="ru-RU" w:eastAsia="en-US" w:bidi="ar-SA"/>
      <w14:ligatures w14:val="none"/>
    </w:rPr>
  </w:style>
  <w:style w:type="paragraph" w:customStyle="1" w:styleId="97">
    <w:name w:val="_РТК_Таблица_КЗ_марк_2ур"/>
    <w:qFormat/>
    <w:uiPriority w:val="0"/>
    <w:pPr>
      <w:numPr>
        <w:ilvl w:val="0"/>
        <w:numId w:val="10"/>
      </w:numPr>
      <w:spacing w:after="0" w:line="240" w:lineRule="auto"/>
    </w:pPr>
    <w:rPr>
      <w:rFonts w:ascii="PT Astra Serif" w:hAnsi="PT Astra Serif" w:eastAsia="SimSun" w:cs="Times New Roman"/>
      <w:kern w:val="0"/>
      <w:sz w:val="24"/>
      <w:szCs w:val="20"/>
      <w:lang w:val="ru-RU" w:eastAsia="ru-RU" w:bidi="ar-SA"/>
      <w14:ligatures w14:val="none"/>
    </w:rPr>
  </w:style>
  <w:style w:type="paragraph" w:customStyle="1" w:styleId="98">
    <w:name w:val="_РТК_Приложение"/>
    <w:link w:val="99"/>
    <w:qFormat/>
    <w:uiPriority w:val="0"/>
    <w:pPr>
      <w:pageBreakBefore/>
      <w:spacing w:before="360" w:after="240" w:line="276" w:lineRule="auto"/>
      <w:jc w:val="center"/>
      <w:outlineLvl w:val="0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character" w:customStyle="1" w:styleId="99">
    <w:name w:val="_РТК_Приложение Знак"/>
    <w:basedOn w:val="11"/>
    <w:link w:val="98"/>
    <w:qFormat/>
    <w:uiPriority w:val="0"/>
    <w:rPr>
      <w:rFonts w:ascii="PT Astra Serif" w:hAnsi="PT Astra Serif" w:eastAsia="Times New Roman" w:cs="Times New Roman"/>
      <w:b/>
      <w:snapToGrid w:val="0"/>
      <w:sz w:val="28"/>
      <w:szCs w:val="24"/>
      <w:lang w:eastAsia="ru-RU"/>
    </w:rPr>
  </w:style>
  <w:style w:type="paragraph" w:customStyle="1" w:styleId="100">
    <w:name w:val="_РТК_Приложение_А.1"/>
    <w:qFormat/>
    <w:uiPriority w:val="0"/>
    <w:pPr>
      <w:keepNext/>
      <w:suppressAutoHyphens/>
      <w:spacing w:before="240" w:after="240" w:line="276" w:lineRule="auto"/>
      <w:ind w:firstLine="709"/>
      <w:jc w:val="both"/>
      <w:outlineLvl w:val="1"/>
    </w:pPr>
    <w:rPr>
      <w:rFonts w:ascii="PT Astra Serif" w:hAnsi="PT Astra Serif" w:eastAsia="Times New Roman" w:cs="Times New Roman"/>
      <w:b/>
      <w:kern w:val="28"/>
      <w:sz w:val="26"/>
      <w:szCs w:val="32"/>
      <w:lang w:val="ru-RU" w:eastAsia="en-US" w:bidi="ar-SA"/>
      <w14:ligatures w14:val="none"/>
    </w:rPr>
  </w:style>
  <w:style w:type="paragraph" w:customStyle="1" w:styleId="101">
    <w:name w:val="_РТК_Таблица_12_Заголовок"/>
    <w:qFormat/>
    <w:uiPriority w:val="0"/>
    <w:pPr>
      <w:keepNext/>
      <w:suppressAutoHyphens/>
      <w:spacing w:before="60" w:after="60" w:line="240" w:lineRule="auto"/>
      <w:jc w:val="center"/>
    </w:pPr>
    <w:rPr>
      <w:rFonts w:ascii="PT Astra Serif" w:hAnsi="PT Astra Serif" w:eastAsiaTheme="minorHAnsi" w:cstheme="minorBidi"/>
      <w:kern w:val="0"/>
      <w:sz w:val="24"/>
      <w:szCs w:val="24"/>
      <w:lang w:val="ru-RU" w:eastAsia="en-US" w:bidi="ar-SA"/>
      <w14:ligatures w14:val="none"/>
    </w:rPr>
  </w:style>
  <w:style w:type="paragraph" w:customStyle="1" w:styleId="102">
    <w:name w:val="_РТК_сноска"/>
    <w:qFormat/>
    <w:uiPriority w:val="0"/>
    <w:pPr>
      <w:suppressAutoHyphens/>
      <w:spacing w:before="120" w:after="240" w:line="240" w:lineRule="auto"/>
      <w:ind w:firstLine="709"/>
      <w:contextualSpacing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  <w14:ligatures w14:val="none"/>
    </w:rPr>
  </w:style>
  <w:style w:type="paragraph" w:customStyle="1" w:styleId="103">
    <w:name w:val="Стиль1"/>
    <w:basedOn w:val="51"/>
    <w:qFormat/>
    <w:uiPriority w:val="1"/>
    <w:pPr>
      <w:numPr>
        <w:numId w:val="0"/>
      </w:numPr>
      <w:ind w:firstLine="709"/>
    </w:pPr>
  </w:style>
  <w:style w:type="paragraph" w:customStyle="1" w:styleId="104">
    <w:name w:val="_РТК_СПИСОК_марк_1ур_лев"/>
    <w:basedOn w:val="5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8.png"/><Relationship Id="rId98" Type="http://schemas.openxmlformats.org/officeDocument/2006/relationships/image" Target="media/image87.png"/><Relationship Id="rId97" Type="http://schemas.openxmlformats.org/officeDocument/2006/relationships/image" Target="media/image86.png"/><Relationship Id="rId96" Type="http://schemas.openxmlformats.org/officeDocument/2006/relationships/image" Target="media/image85.png"/><Relationship Id="rId95" Type="http://schemas.openxmlformats.org/officeDocument/2006/relationships/image" Target="media/image84.png"/><Relationship Id="rId94" Type="http://schemas.openxmlformats.org/officeDocument/2006/relationships/image" Target="media/image83.png"/><Relationship Id="rId93" Type="http://schemas.openxmlformats.org/officeDocument/2006/relationships/image" Target="media/image82.png"/><Relationship Id="rId92" Type="http://schemas.openxmlformats.org/officeDocument/2006/relationships/image" Target="media/image81.png"/><Relationship Id="rId91" Type="http://schemas.openxmlformats.org/officeDocument/2006/relationships/image" Target="media/image80.png"/><Relationship Id="rId90" Type="http://schemas.openxmlformats.org/officeDocument/2006/relationships/image" Target="media/image79.png"/><Relationship Id="rId9" Type="http://schemas.openxmlformats.org/officeDocument/2006/relationships/header" Target="header3.xml"/><Relationship Id="rId89" Type="http://schemas.openxmlformats.org/officeDocument/2006/relationships/image" Target="media/image78.png"/><Relationship Id="rId88" Type="http://schemas.openxmlformats.org/officeDocument/2006/relationships/image" Target="media/image77.png"/><Relationship Id="rId87" Type="http://schemas.openxmlformats.org/officeDocument/2006/relationships/image" Target="media/image76.png"/><Relationship Id="rId86" Type="http://schemas.openxmlformats.org/officeDocument/2006/relationships/image" Target="media/image75.png"/><Relationship Id="rId85" Type="http://schemas.openxmlformats.org/officeDocument/2006/relationships/image" Target="media/image74.jpeg"/><Relationship Id="rId84" Type="http://schemas.openxmlformats.org/officeDocument/2006/relationships/image" Target="media/image73.png"/><Relationship Id="rId83" Type="http://schemas.openxmlformats.org/officeDocument/2006/relationships/image" Target="media/image72.png"/><Relationship Id="rId82" Type="http://schemas.openxmlformats.org/officeDocument/2006/relationships/image" Target="media/image71.png"/><Relationship Id="rId81" Type="http://schemas.openxmlformats.org/officeDocument/2006/relationships/image" Target="media/image70.png"/><Relationship Id="rId80" Type="http://schemas.openxmlformats.org/officeDocument/2006/relationships/image" Target="media/image69.png"/><Relationship Id="rId8" Type="http://schemas.openxmlformats.org/officeDocument/2006/relationships/footer" Target="footer2.xml"/><Relationship Id="rId79" Type="http://schemas.openxmlformats.org/officeDocument/2006/relationships/image" Target="media/image68.png"/><Relationship Id="rId78" Type="http://schemas.openxmlformats.org/officeDocument/2006/relationships/image" Target="media/image67.png"/><Relationship Id="rId77" Type="http://schemas.openxmlformats.org/officeDocument/2006/relationships/image" Target="media/image66.png"/><Relationship Id="rId76" Type="http://schemas.openxmlformats.org/officeDocument/2006/relationships/image" Target="media/image65.png"/><Relationship Id="rId75" Type="http://schemas.openxmlformats.org/officeDocument/2006/relationships/image" Target="media/image64.png"/><Relationship Id="rId74" Type="http://schemas.openxmlformats.org/officeDocument/2006/relationships/image" Target="media/image63.png"/><Relationship Id="rId73" Type="http://schemas.openxmlformats.org/officeDocument/2006/relationships/image" Target="media/image62.png"/><Relationship Id="rId72" Type="http://schemas.openxmlformats.org/officeDocument/2006/relationships/image" Target="media/image61.png"/><Relationship Id="rId71" Type="http://schemas.openxmlformats.org/officeDocument/2006/relationships/image" Target="media/image60.png"/><Relationship Id="rId70" Type="http://schemas.openxmlformats.org/officeDocument/2006/relationships/image" Target="media/image59.png"/><Relationship Id="rId7" Type="http://schemas.openxmlformats.org/officeDocument/2006/relationships/footer" Target="footer1.xml"/><Relationship Id="rId69" Type="http://schemas.openxmlformats.org/officeDocument/2006/relationships/image" Target="media/image58.png"/><Relationship Id="rId68" Type="http://schemas.openxmlformats.org/officeDocument/2006/relationships/image" Target="media/image57.png"/><Relationship Id="rId67" Type="http://schemas.openxmlformats.org/officeDocument/2006/relationships/image" Target="media/image56.png"/><Relationship Id="rId66" Type="http://schemas.openxmlformats.org/officeDocument/2006/relationships/image" Target="media/image55.png"/><Relationship Id="rId65" Type="http://schemas.openxmlformats.org/officeDocument/2006/relationships/image" Target="media/image54.png"/><Relationship Id="rId64" Type="http://schemas.openxmlformats.org/officeDocument/2006/relationships/image" Target="media/image53.png"/><Relationship Id="rId63" Type="http://schemas.openxmlformats.org/officeDocument/2006/relationships/image" Target="media/image52.png"/><Relationship Id="rId62" Type="http://schemas.openxmlformats.org/officeDocument/2006/relationships/image" Target="media/image51.png"/><Relationship Id="rId61" Type="http://schemas.openxmlformats.org/officeDocument/2006/relationships/image" Target="media/image50.png"/><Relationship Id="rId60" Type="http://schemas.openxmlformats.org/officeDocument/2006/relationships/image" Target="media/image49.png"/><Relationship Id="rId6" Type="http://schemas.openxmlformats.org/officeDocument/2006/relationships/header" Target="header2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3" Type="http://schemas.openxmlformats.org/officeDocument/2006/relationships/glossaryDocument" Target="glossary/document.xml"/><Relationship Id="rId292" Type="http://schemas.openxmlformats.org/officeDocument/2006/relationships/fontTable" Target="fontTable.xml"/><Relationship Id="rId291" Type="http://schemas.openxmlformats.org/officeDocument/2006/relationships/customXml" Target="../customXml/item3.xml"/><Relationship Id="rId290" Type="http://schemas.openxmlformats.org/officeDocument/2006/relationships/customXml" Target="../customXml/item2.xml"/><Relationship Id="rId29" Type="http://schemas.openxmlformats.org/officeDocument/2006/relationships/image" Target="media/image18.png"/><Relationship Id="rId289" Type="http://schemas.openxmlformats.org/officeDocument/2006/relationships/numbering" Target="numbering.xml"/><Relationship Id="rId288" Type="http://schemas.openxmlformats.org/officeDocument/2006/relationships/customXml" Target="../customXml/item1.xml"/><Relationship Id="rId287" Type="http://schemas.openxmlformats.org/officeDocument/2006/relationships/image" Target="media/image276.png"/><Relationship Id="rId286" Type="http://schemas.openxmlformats.org/officeDocument/2006/relationships/image" Target="media/image275.png"/><Relationship Id="rId285" Type="http://schemas.openxmlformats.org/officeDocument/2006/relationships/image" Target="media/image274.png"/><Relationship Id="rId284" Type="http://schemas.openxmlformats.org/officeDocument/2006/relationships/image" Target="media/image273.png"/><Relationship Id="rId283" Type="http://schemas.openxmlformats.org/officeDocument/2006/relationships/image" Target="media/image272.png"/><Relationship Id="rId282" Type="http://schemas.openxmlformats.org/officeDocument/2006/relationships/image" Target="media/image271.png"/><Relationship Id="rId281" Type="http://schemas.openxmlformats.org/officeDocument/2006/relationships/image" Target="media/image270.png"/><Relationship Id="rId280" Type="http://schemas.openxmlformats.org/officeDocument/2006/relationships/image" Target="media/image269.jpeg"/><Relationship Id="rId28" Type="http://schemas.openxmlformats.org/officeDocument/2006/relationships/image" Target="media/image17.png"/><Relationship Id="rId279" Type="http://schemas.openxmlformats.org/officeDocument/2006/relationships/image" Target="media/image268.jpeg"/><Relationship Id="rId278" Type="http://schemas.openxmlformats.org/officeDocument/2006/relationships/image" Target="media/image267.png"/><Relationship Id="rId277" Type="http://schemas.openxmlformats.org/officeDocument/2006/relationships/image" Target="media/image266.png"/><Relationship Id="rId276" Type="http://schemas.openxmlformats.org/officeDocument/2006/relationships/image" Target="media/image265.png"/><Relationship Id="rId275" Type="http://schemas.openxmlformats.org/officeDocument/2006/relationships/image" Target="media/image264.png"/><Relationship Id="rId274" Type="http://schemas.openxmlformats.org/officeDocument/2006/relationships/image" Target="media/image263.png"/><Relationship Id="rId273" Type="http://schemas.openxmlformats.org/officeDocument/2006/relationships/image" Target="media/image262.png"/><Relationship Id="rId272" Type="http://schemas.openxmlformats.org/officeDocument/2006/relationships/image" Target="media/image261.png"/><Relationship Id="rId271" Type="http://schemas.openxmlformats.org/officeDocument/2006/relationships/image" Target="media/image260.png"/><Relationship Id="rId270" Type="http://schemas.openxmlformats.org/officeDocument/2006/relationships/image" Target="media/image259.png"/><Relationship Id="rId27" Type="http://schemas.openxmlformats.org/officeDocument/2006/relationships/image" Target="media/image16.png"/><Relationship Id="rId269" Type="http://schemas.openxmlformats.org/officeDocument/2006/relationships/image" Target="media/image258.png"/><Relationship Id="rId268" Type="http://schemas.openxmlformats.org/officeDocument/2006/relationships/image" Target="media/image257.png"/><Relationship Id="rId267" Type="http://schemas.openxmlformats.org/officeDocument/2006/relationships/image" Target="media/image256.png"/><Relationship Id="rId266" Type="http://schemas.openxmlformats.org/officeDocument/2006/relationships/image" Target="media/image255.png"/><Relationship Id="rId265" Type="http://schemas.openxmlformats.org/officeDocument/2006/relationships/image" Target="media/image254.png"/><Relationship Id="rId264" Type="http://schemas.openxmlformats.org/officeDocument/2006/relationships/image" Target="media/image253.png"/><Relationship Id="rId263" Type="http://schemas.openxmlformats.org/officeDocument/2006/relationships/image" Target="media/image252.png"/><Relationship Id="rId262" Type="http://schemas.openxmlformats.org/officeDocument/2006/relationships/image" Target="media/image251.png"/><Relationship Id="rId261" Type="http://schemas.openxmlformats.org/officeDocument/2006/relationships/image" Target="media/image250.png"/><Relationship Id="rId260" Type="http://schemas.openxmlformats.org/officeDocument/2006/relationships/image" Target="media/image249.png"/><Relationship Id="rId26" Type="http://schemas.openxmlformats.org/officeDocument/2006/relationships/image" Target="media/image15.png"/><Relationship Id="rId259" Type="http://schemas.openxmlformats.org/officeDocument/2006/relationships/image" Target="media/image248.png"/><Relationship Id="rId258" Type="http://schemas.openxmlformats.org/officeDocument/2006/relationships/image" Target="media/image247.png"/><Relationship Id="rId257" Type="http://schemas.openxmlformats.org/officeDocument/2006/relationships/image" Target="media/image246.png"/><Relationship Id="rId256" Type="http://schemas.openxmlformats.org/officeDocument/2006/relationships/image" Target="media/image245.png"/><Relationship Id="rId255" Type="http://schemas.openxmlformats.org/officeDocument/2006/relationships/image" Target="media/image244.png"/><Relationship Id="rId254" Type="http://schemas.openxmlformats.org/officeDocument/2006/relationships/image" Target="media/image243.png"/><Relationship Id="rId253" Type="http://schemas.openxmlformats.org/officeDocument/2006/relationships/image" Target="media/image242.png"/><Relationship Id="rId252" Type="http://schemas.openxmlformats.org/officeDocument/2006/relationships/image" Target="media/image241.png"/><Relationship Id="rId251" Type="http://schemas.openxmlformats.org/officeDocument/2006/relationships/image" Target="media/image240.png"/><Relationship Id="rId250" Type="http://schemas.openxmlformats.org/officeDocument/2006/relationships/image" Target="media/image239.png"/><Relationship Id="rId25" Type="http://schemas.openxmlformats.org/officeDocument/2006/relationships/image" Target="media/image14.png"/><Relationship Id="rId249" Type="http://schemas.openxmlformats.org/officeDocument/2006/relationships/image" Target="media/image238.png"/><Relationship Id="rId248" Type="http://schemas.openxmlformats.org/officeDocument/2006/relationships/image" Target="media/image237.png"/><Relationship Id="rId247" Type="http://schemas.openxmlformats.org/officeDocument/2006/relationships/image" Target="media/image236.png"/><Relationship Id="rId246" Type="http://schemas.openxmlformats.org/officeDocument/2006/relationships/image" Target="media/image235.png"/><Relationship Id="rId245" Type="http://schemas.openxmlformats.org/officeDocument/2006/relationships/image" Target="media/image234.png"/><Relationship Id="rId244" Type="http://schemas.openxmlformats.org/officeDocument/2006/relationships/image" Target="media/image233.png"/><Relationship Id="rId243" Type="http://schemas.openxmlformats.org/officeDocument/2006/relationships/image" Target="media/image232.png"/><Relationship Id="rId242" Type="http://schemas.openxmlformats.org/officeDocument/2006/relationships/image" Target="media/image231.png"/><Relationship Id="rId241" Type="http://schemas.openxmlformats.org/officeDocument/2006/relationships/image" Target="media/image230.png"/><Relationship Id="rId240" Type="http://schemas.openxmlformats.org/officeDocument/2006/relationships/image" Target="media/image229.png"/><Relationship Id="rId24" Type="http://schemas.openxmlformats.org/officeDocument/2006/relationships/image" Target="media/image13.png"/><Relationship Id="rId239" Type="http://schemas.openxmlformats.org/officeDocument/2006/relationships/image" Target="media/image228.png"/><Relationship Id="rId238" Type="http://schemas.openxmlformats.org/officeDocument/2006/relationships/image" Target="media/image227.png"/><Relationship Id="rId237" Type="http://schemas.openxmlformats.org/officeDocument/2006/relationships/image" Target="media/image226.png"/><Relationship Id="rId236" Type="http://schemas.openxmlformats.org/officeDocument/2006/relationships/image" Target="media/image225.png"/><Relationship Id="rId235" Type="http://schemas.openxmlformats.org/officeDocument/2006/relationships/image" Target="media/image224.png"/><Relationship Id="rId234" Type="http://schemas.openxmlformats.org/officeDocument/2006/relationships/image" Target="media/image223.png"/><Relationship Id="rId233" Type="http://schemas.openxmlformats.org/officeDocument/2006/relationships/image" Target="media/image222.png"/><Relationship Id="rId232" Type="http://schemas.openxmlformats.org/officeDocument/2006/relationships/image" Target="media/image221.png"/><Relationship Id="rId231" Type="http://schemas.openxmlformats.org/officeDocument/2006/relationships/image" Target="media/image220.png"/><Relationship Id="rId230" Type="http://schemas.openxmlformats.org/officeDocument/2006/relationships/image" Target="media/image219.png"/><Relationship Id="rId23" Type="http://schemas.openxmlformats.org/officeDocument/2006/relationships/image" Target="media/image12.png"/><Relationship Id="rId229" Type="http://schemas.openxmlformats.org/officeDocument/2006/relationships/image" Target="media/image218.png"/><Relationship Id="rId228" Type="http://schemas.openxmlformats.org/officeDocument/2006/relationships/image" Target="media/image217.png"/><Relationship Id="rId227" Type="http://schemas.openxmlformats.org/officeDocument/2006/relationships/image" Target="media/image216.png"/><Relationship Id="rId226" Type="http://schemas.openxmlformats.org/officeDocument/2006/relationships/image" Target="media/image215.png"/><Relationship Id="rId225" Type="http://schemas.openxmlformats.org/officeDocument/2006/relationships/image" Target="media/image214.png"/><Relationship Id="rId224" Type="http://schemas.openxmlformats.org/officeDocument/2006/relationships/image" Target="media/image213.png"/><Relationship Id="rId223" Type="http://schemas.openxmlformats.org/officeDocument/2006/relationships/image" Target="media/image212.png"/><Relationship Id="rId222" Type="http://schemas.openxmlformats.org/officeDocument/2006/relationships/image" Target="media/image211.png"/><Relationship Id="rId221" Type="http://schemas.openxmlformats.org/officeDocument/2006/relationships/image" Target="media/image210.png"/><Relationship Id="rId220" Type="http://schemas.openxmlformats.org/officeDocument/2006/relationships/image" Target="media/image209.png"/><Relationship Id="rId22" Type="http://schemas.openxmlformats.org/officeDocument/2006/relationships/image" Target="media/image11.png"/><Relationship Id="rId219" Type="http://schemas.openxmlformats.org/officeDocument/2006/relationships/image" Target="media/image208.png"/><Relationship Id="rId218" Type="http://schemas.openxmlformats.org/officeDocument/2006/relationships/image" Target="media/image207.png"/><Relationship Id="rId217" Type="http://schemas.openxmlformats.org/officeDocument/2006/relationships/image" Target="media/image206.png"/><Relationship Id="rId216" Type="http://schemas.openxmlformats.org/officeDocument/2006/relationships/image" Target="media/image205.png"/><Relationship Id="rId215" Type="http://schemas.openxmlformats.org/officeDocument/2006/relationships/image" Target="media/image204.png"/><Relationship Id="rId214" Type="http://schemas.openxmlformats.org/officeDocument/2006/relationships/image" Target="media/image203.png"/><Relationship Id="rId213" Type="http://schemas.openxmlformats.org/officeDocument/2006/relationships/image" Target="media/image202.png"/><Relationship Id="rId212" Type="http://schemas.openxmlformats.org/officeDocument/2006/relationships/image" Target="media/image201.png"/><Relationship Id="rId211" Type="http://schemas.openxmlformats.org/officeDocument/2006/relationships/image" Target="media/image200.png"/><Relationship Id="rId210" Type="http://schemas.openxmlformats.org/officeDocument/2006/relationships/image" Target="media/image199.png"/><Relationship Id="rId21" Type="http://schemas.openxmlformats.org/officeDocument/2006/relationships/image" Target="media/image10.png"/><Relationship Id="rId209" Type="http://schemas.openxmlformats.org/officeDocument/2006/relationships/image" Target="media/image198.png"/><Relationship Id="rId208" Type="http://schemas.openxmlformats.org/officeDocument/2006/relationships/image" Target="media/image197.png"/><Relationship Id="rId207" Type="http://schemas.openxmlformats.org/officeDocument/2006/relationships/image" Target="media/image196.png"/><Relationship Id="rId206" Type="http://schemas.openxmlformats.org/officeDocument/2006/relationships/image" Target="media/image195.png"/><Relationship Id="rId205" Type="http://schemas.openxmlformats.org/officeDocument/2006/relationships/image" Target="media/image194.png"/><Relationship Id="rId204" Type="http://schemas.openxmlformats.org/officeDocument/2006/relationships/image" Target="media/image193.png"/><Relationship Id="rId203" Type="http://schemas.openxmlformats.org/officeDocument/2006/relationships/image" Target="media/image192.png"/><Relationship Id="rId202" Type="http://schemas.openxmlformats.org/officeDocument/2006/relationships/image" Target="media/image191.png"/><Relationship Id="rId201" Type="http://schemas.openxmlformats.org/officeDocument/2006/relationships/image" Target="media/image190.png"/><Relationship Id="rId200" Type="http://schemas.openxmlformats.org/officeDocument/2006/relationships/image" Target="media/image189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9" Type="http://schemas.openxmlformats.org/officeDocument/2006/relationships/image" Target="media/image188.jpeg"/><Relationship Id="rId198" Type="http://schemas.openxmlformats.org/officeDocument/2006/relationships/image" Target="media/image187.jpeg"/><Relationship Id="rId197" Type="http://schemas.openxmlformats.org/officeDocument/2006/relationships/image" Target="media/image186.png"/><Relationship Id="rId196" Type="http://schemas.openxmlformats.org/officeDocument/2006/relationships/image" Target="media/image185.png"/><Relationship Id="rId195" Type="http://schemas.openxmlformats.org/officeDocument/2006/relationships/image" Target="media/image184.png"/><Relationship Id="rId194" Type="http://schemas.openxmlformats.org/officeDocument/2006/relationships/image" Target="media/image183.jpeg"/><Relationship Id="rId193" Type="http://schemas.openxmlformats.org/officeDocument/2006/relationships/image" Target="media/image182.png"/><Relationship Id="rId192" Type="http://schemas.openxmlformats.org/officeDocument/2006/relationships/image" Target="media/image181.png"/><Relationship Id="rId191" Type="http://schemas.openxmlformats.org/officeDocument/2006/relationships/image" Target="media/image180.png"/><Relationship Id="rId190" Type="http://schemas.openxmlformats.org/officeDocument/2006/relationships/image" Target="media/image179.png"/><Relationship Id="rId19" Type="http://schemas.openxmlformats.org/officeDocument/2006/relationships/image" Target="media/image8.png"/><Relationship Id="rId189" Type="http://schemas.openxmlformats.org/officeDocument/2006/relationships/image" Target="media/image178.png"/><Relationship Id="rId188" Type="http://schemas.openxmlformats.org/officeDocument/2006/relationships/image" Target="media/image177.png"/><Relationship Id="rId187" Type="http://schemas.openxmlformats.org/officeDocument/2006/relationships/image" Target="media/image176.png"/><Relationship Id="rId186" Type="http://schemas.openxmlformats.org/officeDocument/2006/relationships/image" Target="media/image175.png"/><Relationship Id="rId185" Type="http://schemas.openxmlformats.org/officeDocument/2006/relationships/image" Target="media/image174.png"/><Relationship Id="rId184" Type="http://schemas.openxmlformats.org/officeDocument/2006/relationships/image" Target="media/image173.png"/><Relationship Id="rId183" Type="http://schemas.openxmlformats.org/officeDocument/2006/relationships/image" Target="media/image172.png"/><Relationship Id="rId182" Type="http://schemas.openxmlformats.org/officeDocument/2006/relationships/image" Target="media/image171.png"/><Relationship Id="rId181" Type="http://schemas.openxmlformats.org/officeDocument/2006/relationships/image" Target="media/image170.png"/><Relationship Id="rId180" Type="http://schemas.openxmlformats.org/officeDocument/2006/relationships/image" Target="media/image169.png"/><Relationship Id="rId18" Type="http://schemas.openxmlformats.org/officeDocument/2006/relationships/image" Target="media/image7.png"/><Relationship Id="rId179" Type="http://schemas.openxmlformats.org/officeDocument/2006/relationships/image" Target="media/image168.png"/><Relationship Id="rId178" Type="http://schemas.openxmlformats.org/officeDocument/2006/relationships/image" Target="media/image167.png"/><Relationship Id="rId177" Type="http://schemas.openxmlformats.org/officeDocument/2006/relationships/image" Target="media/image166.png"/><Relationship Id="rId176" Type="http://schemas.openxmlformats.org/officeDocument/2006/relationships/image" Target="media/image165.png"/><Relationship Id="rId175" Type="http://schemas.openxmlformats.org/officeDocument/2006/relationships/image" Target="media/image164.png"/><Relationship Id="rId174" Type="http://schemas.openxmlformats.org/officeDocument/2006/relationships/image" Target="media/image163.png"/><Relationship Id="rId173" Type="http://schemas.openxmlformats.org/officeDocument/2006/relationships/image" Target="media/image162.png"/><Relationship Id="rId172" Type="http://schemas.openxmlformats.org/officeDocument/2006/relationships/image" Target="media/image161.png"/><Relationship Id="rId171" Type="http://schemas.openxmlformats.org/officeDocument/2006/relationships/image" Target="media/image160.png"/><Relationship Id="rId170" Type="http://schemas.openxmlformats.org/officeDocument/2006/relationships/image" Target="media/image159.png"/><Relationship Id="rId17" Type="http://schemas.openxmlformats.org/officeDocument/2006/relationships/image" Target="media/image6.png"/><Relationship Id="rId169" Type="http://schemas.openxmlformats.org/officeDocument/2006/relationships/image" Target="media/image158.png"/><Relationship Id="rId168" Type="http://schemas.openxmlformats.org/officeDocument/2006/relationships/image" Target="media/image157.png"/><Relationship Id="rId167" Type="http://schemas.openxmlformats.org/officeDocument/2006/relationships/image" Target="media/image156.png"/><Relationship Id="rId166" Type="http://schemas.openxmlformats.org/officeDocument/2006/relationships/image" Target="media/image155.png"/><Relationship Id="rId165" Type="http://schemas.openxmlformats.org/officeDocument/2006/relationships/image" Target="media/image154.png"/><Relationship Id="rId164" Type="http://schemas.openxmlformats.org/officeDocument/2006/relationships/image" Target="media/image153.png"/><Relationship Id="rId163" Type="http://schemas.openxmlformats.org/officeDocument/2006/relationships/image" Target="media/image152.png"/><Relationship Id="rId162" Type="http://schemas.openxmlformats.org/officeDocument/2006/relationships/image" Target="media/image151.png"/><Relationship Id="rId161" Type="http://schemas.openxmlformats.org/officeDocument/2006/relationships/image" Target="media/image150.png"/><Relationship Id="rId160" Type="http://schemas.openxmlformats.org/officeDocument/2006/relationships/image" Target="media/image149.png"/><Relationship Id="rId16" Type="http://schemas.openxmlformats.org/officeDocument/2006/relationships/image" Target="media/image5.png"/><Relationship Id="rId159" Type="http://schemas.openxmlformats.org/officeDocument/2006/relationships/image" Target="media/image148.png"/><Relationship Id="rId158" Type="http://schemas.openxmlformats.org/officeDocument/2006/relationships/image" Target="media/image147.png"/><Relationship Id="rId157" Type="http://schemas.openxmlformats.org/officeDocument/2006/relationships/image" Target="media/image146.png"/><Relationship Id="rId156" Type="http://schemas.openxmlformats.org/officeDocument/2006/relationships/image" Target="media/image145.png"/><Relationship Id="rId155" Type="http://schemas.openxmlformats.org/officeDocument/2006/relationships/image" Target="media/image144.png"/><Relationship Id="rId154" Type="http://schemas.openxmlformats.org/officeDocument/2006/relationships/image" Target="media/image143.png"/><Relationship Id="rId153" Type="http://schemas.openxmlformats.org/officeDocument/2006/relationships/image" Target="media/image142.png"/><Relationship Id="rId152" Type="http://schemas.openxmlformats.org/officeDocument/2006/relationships/image" Target="media/image141.png"/><Relationship Id="rId151" Type="http://schemas.openxmlformats.org/officeDocument/2006/relationships/image" Target="media/image140.png"/><Relationship Id="rId150" Type="http://schemas.openxmlformats.org/officeDocument/2006/relationships/image" Target="media/image139.png"/><Relationship Id="rId15" Type="http://schemas.openxmlformats.org/officeDocument/2006/relationships/image" Target="media/image4.png"/><Relationship Id="rId149" Type="http://schemas.openxmlformats.org/officeDocument/2006/relationships/image" Target="media/image138.png"/><Relationship Id="rId148" Type="http://schemas.openxmlformats.org/officeDocument/2006/relationships/image" Target="media/image137.png"/><Relationship Id="rId147" Type="http://schemas.openxmlformats.org/officeDocument/2006/relationships/image" Target="media/image136.png"/><Relationship Id="rId146" Type="http://schemas.openxmlformats.org/officeDocument/2006/relationships/image" Target="media/image135.png"/><Relationship Id="rId145" Type="http://schemas.openxmlformats.org/officeDocument/2006/relationships/image" Target="media/image134.png"/><Relationship Id="rId144" Type="http://schemas.openxmlformats.org/officeDocument/2006/relationships/image" Target="media/image133.png"/><Relationship Id="rId143" Type="http://schemas.openxmlformats.org/officeDocument/2006/relationships/image" Target="media/image132.png"/><Relationship Id="rId142" Type="http://schemas.openxmlformats.org/officeDocument/2006/relationships/image" Target="media/image131.png"/><Relationship Id="rId141" Type="http://schemas.openxmlformats.org/officeDocument/2006/relationships/image" Target="media/image130.png"/><Relationship Id="rId140" Type="http://schemas.openxmlformats.org/officeDocument/2006/relationships/image" Target="media/image129.png"/><Relationship Id="rId14" Type="http://schemas.openxmlformats.org/officeDocument/2006/relationships/image" Target="media/image3.png"/><Relationship Id="rId139" Type="http://schemas.openxmlformats.org/officeDocument/2006/relationships/image" Target="media/image128.png"/><Relationship Id="rId138" Type="http://schemas.openxmlformats.org/officeDocument/2006/relationships/image" Target="media/image127.png"/><Relationship Id="rId137" Type="http://schemas.openxmlformats.org/officeDocument/2006/relationships/image" Target="media/image126.png"/><Relationship Id="rId136" Type="http://schemas.openxmlformats.org/officeDocument/2006/relationships/image" Target="media/image125.png"/><Relationship Id="rId135" Type="http://schemas.openxmlformats.org/officeDocument/2006/relationships/image" Target="media/image124.png"/><Relationship Id="rId134" Type="http://schemas.openxmlformats.org/officeDocument/2006/relationships/image" Target="media/image123.png"/><Relationship Id="rId133" Type="http://schemas.openxmlformats.org/officeDocument/2006/relationships/image" Target="media/image122.png"/><Relationship Id="rId132" Type="http://schemas.openxmlformats.org/officeDocument/2006/relationships/image" Target="media/image121.png"/><Relationship Id="rId131" Type="http://schemas.openxmlformats.org/officeDocument/2006/relationships/image" Target="media/image120.png"/><Relationship Id="rId130" Type="http://schemas.openxmlformats.org/officeDocument/2006/relationships/image" Target="media/image119.png"/><Relationship Id="rId13" Type="http://schemas.openxmlformats.org/officeDocument/2006/relationships/image" Target="media/image2.png"/><Relationship Id="rId129" Type="http://schemas.openxmlformats.org/officeDocument/2006/relationships/image" Target="media/image118.png"/><Relationship Id="rId128" Type="http://schemas.openxmlformats.org/officeDocument/2006/relationships/image" Target="media/image117.png"/><Relationship Id="rId127" Type="http://schemas.openxmlformats.org/officeDocument/2006/relationships/image" Target="media/image116.png"/><Relationship Id="rId126" Type="http://schemas.openxmlformats.org/officeDocument/2006/relationships/image" Target="media/image115.png"/><Relationship Id="rId125" Type="http://schemas.openxmlformats.org/officeDocument/2006/relationships/image" Target="media/image114.png"/><Relationship Id="rId124" Type="http://schemas.openxmlformats.org/officeDocument/2006/relationships/image" Target="media/image113.png"/><Relationship Id="rId123" Type="http://schemas.openxmlformats.org/officeDocument/2006/relationships/image" Target="media/image112.png"/><Relationship Id="rId122" Type="http://schemas.openxmlformats.org/officeDocument/2006/relationships/image" Target="media/image111.png"/><Relationship Id="rId121" Type="http://schemas.openxmlformats.org/officeDocument/2006/relationships/image" Target="media/image110.png"/><Relationship Id="rId120" Type="http://schemas.openxmlformats.org/officeDocument/2006/relationships/image" Target="media/image109.png"/><Relationship Id="rId12" Type="http://schemas.openxmlformats.org/officeDocument/2006/relationships/image" Target="media/image1.png"/><Relationship Id="rId119" Type="http://schemas.openxmlformats.org/officeDocument/2006/relationships/image" Target="media/image108.png"/><Relationship Id="rId118" Type="http://schemas.openxmlformats.org/officeDocument/2006/relationships/image" Target="media/image107.png"/><Relationship Id="rId117" Type="http://schemas.openxmlformats.org/officeDocument/2006/relationships/image" Target="media/image106.png"/><Relationship Id="rId116" Type="http://schemas.openxmlformats.org/officeDocument/2006/relationships/image" Target="media/image105.png"/><Relationship Id="rId115" Type="http://schemas.openxmlformats.org/officeDocument/2006/relationships/image" Target="media/image104.png"/><Relationship Id="rId114" Type="http://schemas.openxmlformats.org/officeDocument/2006/relationships/image" Target="media/image103.png"/><Relationship Id="rId113" Type="http://schemas.openxmlformats.org/officeDocument/2006/relationships/image" Target="media/image102.png"/><Relationship Id="rId112" Type="http://schemas.openxmlformats.org/officeDocument/2006/relationships/image" Target="media/image101.png"/><Relationship Id="rId111" Type="http://schemas.openxmlformats.org/officeDocument/2006/relationships/image" Target="media/image100.png"/><Relationship Id="rId110" Type="http://schemas.openxmlformats.org/officeDocument/2006/relationships/image" Target="media/image99.png"/><Relationship Id="rId11" Type="http://schemas.openxmlformats.org/officeDocument/2006/relationships/theme" Target="theme/theme1.xml"/><Relationship Id="rId109" Type="http://schemas.openxmlformats.org/officeDocument/2006/relationships/image" Target="media/image98.png"/><Relationship Id="rId108" Type="http://schemas.openxmlformats.org/officeDocument/2006/relationships/image" Target="media/image97.png"/><Relationship Id="rId107" Type="http://schemas.openxmlformats.org/officeDocument/2006/relationships/image" Target="media/image96.png"/><Relationship Id="rId106" Type="http://schemas.openxmlformats.org/officeDocument/2006/relationships/image" Target="media/image95.png"/><Relationship Id="rId105" Type="http://schemas.openxmlformats.org/officeDocument/2006/relationships/image" Target="media/image94.png"/><Relationship Id="rId104" Type="http://schemas.openxmlformats.org/officeDocument/2006/relationships/image" Target="media/image93.png"/><Relationship Id="rId103" Type="http://schemas.openxmlformats.org/officeDocument/2006/relationships/image" Target="media/image92.png"/><Relationship Id="rId102" Type="http://schemas.openxmlformats.org/officeDocument/2006/relationships/image" Target="media/image91.png"/><Relationship Id="rId101" Type="http://schemas.openxmlformats.org/officeDocument/2006/relationships/image" Target="media/image90.png"/><Relationship Id="rId100" Type="http://schemas.openxmlformats.org/officeDocument/2006/relationships/image" Target="media/image89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A5D06B5BF5B04244A9315F6F9C373412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8F0F4E7-4048-4CAB-87DA-5FC31D5632B0}"/>
      </w:docPartPr>
      <w:docPartBody>
        <w:p w14:paraId="630A7CEF">
          <w:r>
            <w:rPr>
              <w:rStyle w:val="4"/>
            </w:rPr>
            <w:t>[Аннотация]</w:t>
          </w:r>
        </w:p>
      </w:docPartBody>
    </w:docPart>
    <w:docPart>
      <w:docPartPr>
        <w:name w:val="855090C1E26F44B89DF0A3EE219EB603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B095F1F-5064-499F-9A4E-1275C2753A45}"/>
      </w:docPartPr>
      <w:docPartBody>
        <w:p w14:paraId="4D662795">
          <w:pPr>
            <w:pStyle w:val="5"/>
          </w:pPr>
          <w:r>
            <w:rPr>
              <w:rStyle w:val="4"/>
            </w:rPr>
            <w:t>[Примечания]</w:t>
          </w:r>
        </w:p>
      </w:docPartBody>
    </w:docPart>
    <w:docPart>
      <w:docPartPr>
        <w:name w:val="5F495F4292C94B66991C8313DDB78C86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B633E8E-A632-42B1-B0CE-B41055A16448}"/>
      </w:docPartPr>
      <w:docPartBody>
        <w:p w14:paraId="402D3A81">
          <w:r>
            <w:rPr>
              <w:rStyle w:val="4"/>
            </w:rPr>
            <w:t>[Примечания]</w:t>
          </w:r>
        </w:p>
      </w:docPartBody>
    </w:docPart>
    <w:docPart>
      <w:docPartPr>
        <w:name w:val="AF468381773A4D96AF0DCD3198D796CE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1A9CA48-9F6E-4523-B926-1E0BCB773AF4}"/>
      </w:docPartPr>
      <w:docPartBody>
        <w:p w14:paraId="0E837390">
          <w:r>
            <w:rPr>
              <w:rStyle w:val="4"/>
            </w:rPr>
            <w:t>[Аннотация]</w:t>
          </w:r>
        </w:p>
      </w:docPartBody>
    </w:docPart>
    <w:docPart>
      <w:docPartPr>
        <w:name w:val="E404D537BA94416280DF42C4F4BE66E1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457831-CD82-4CAE-99AA-C7A483A2AC18}"/>
      </w:docPartPr>
      <w:docPartBody>
        <w:p w14:paraId="0D816408">
          <w:pPr>
            <w:pStyle w:val="6"/>
          </w:pPr>
          <w:r>
            <w:rPr>
              <w:rStyle w:val="4"/>
            </w:rPr>
            <w:t>[Аннотация]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4FCA"/>
    <w:rsid w:val="0000725A"/>
    <w:rsid w:val="000144D1"/>
    <w:rsid w:val="000154D9"/>
    <w:rsid w:val="0005069C"/>
    <w:rsid w:val="00060EBC"/>
    <w:rsid w:val="000771DE"/>
    <w:rsid w:val="000808CC"/>
    <w:rsid w:val="00085F76"/>
    <w:rsid w:val="00092FE0"/>
    <w:rsid w:val="0009772F"/>
    <w:rsid w:val="000A45ED"/>
    <w:rsid w:val="000A4A81"/>
    <w:rsid w:val="000C0F4B"/>
    <w:rsid w:val="000C4A04"/>
    <w:rsid w:val="000E1D22"/>
    <w:rsid w:val="00102A82"/>
    <w:rsid w:val="00103570"/>
    <w:rsid w:val="001049B7"/>
    <w:rsid w:val="001051AB"/>
    <w:rsid w:val="001232E3"/>
    <w:rsid w:val="001234F9"/>
    <w:rsid w:val="00125306"/>
    <w:rsid w:val="0014206C"/>
    <w:rsid w:val="00146BB6"/>
    <w:rsid w:val="00151943"/>
    <w:rsid w:val="0016139A"/>
    <w:rsid w:val="0016569F"/>
    <w:rsid w:val="00176F22"/>
    <w:rsid w:val="001A44EF"/>
    <w:rsid w:val="001A483F"/>
    <w:rsid w:val="001A5E04"/>
    <w:rsid w:val="001B2A41"/>
    <w:rsid w:val="001C3817"/>
    <w:rsid w:val="001E5CE3"/>
    <w:rsid w:val="001F1D0E"/>
    <w:rsid w:val="00203C62"/>
    <w:rsid w:val="00205FE6"/>
    <w:rsid w:val="00206061"/>
    <w:rsid w:val="00243CC3"/>
    <w:rsid w:val="00253A00"/>
    <w:rsid w:val="002549CE"/>
    <w:rsid w:val="0026280D"/>
    <w:rsid w:val="00290A01"/>
    <w:rsid w:val="00293F09"/>
    <w:rsid w:val="002B50F4"/>
    <w:rsid w:val="002B66E6"/>
    <w:rsid w:val="002C1D7F"/>
    <w:rsid w:val="002E3C5B"/>
    <w:rsid w:val="00327277"/>
    <w:rsid w:val="0033506E"/>
    <w:rsid w:val="00345781"/>
    <w:rsid w:val="00352BFA"/>
    <w:rsid w:val="003564C3"/>
    <w:rsid w:val="0036665F"/>
    <w:rsid w:val="00366663"/>
    <w:rsid w:val="003716A6"/>
    <w:rsid w:val="003B1675"/>
    <w:rsid w:val="003B36C9"/>
    <w:rsid w:val="003C290F"/>
    <w:rsid w:val="003C3500"/>
    <w:rsid w:val="003C6348"/>
    <w:rsid w:val="003D4388"/>
    <w:rsid w:val="003D6676"/>
    <w:rsid w:val="003E6758"/>
    <w:rsid w:val="004077FA"/>
    <w:rsid w:val="00410089"/>
    <w:rsid w:val="00416F75"/>
    <w:rsid w:val="00423016"/>
    <w:rsid w:val="00424FCA"/>
    <w:rsid w:val="00434827"/>
    <w:rsid w:val="00447F2B"/>
    <w:rsid w:val="00450F6D"/>
    <w:rsid w:val="0046028C"/>
    <w:rsid w:val="0047366C"/>
    <w:rsid w:val="00474A7C"/>
    <w:rsid w:val="004818E6"/>
    <w:rsid w:val="00486265"/>
    <w:rsid w:val="004A3B3F"/>
    <w:rsid w:val="004B1A15"/>
    <w:rsid w:val="004B3D57"/>
    <w:rsid w:val="004C41A3"/>
    <w:rsid w:val="004F283C"/>
    <w:rsid w:val="004F5DDC"/>
    <w:rsid w:val="00507BD9"/>
    <w:rsid w:val="0051278C"/>
    <w:rsid w:val="00514D0B"/>
    <w:rsid w:val="005220EE"/>
    <w:rsid w:val="00523AB9"/>
    <w:rsid w:val="00527775"/>
    <w:rsid w:val="00541401"/>
    <w:rsid w:val="00545920"/>
    <w:rsid w:val="005539C2"/>
    <w:rsid w:val="00563FCD"/>
    <w:rsid w:val="00573B56"/>
    <w:rsid w:val="00576E21"/>
    <w:rsid w:val="00586A08"/>
    <w:rsid w:val="00594613"/>
    <w:rsid w:val="005B0A91"/>
    <w:rsid w:val="005D4799"/>
    <w:rsid w:val="005D7631"/>
    <w:rsid w:val="005E48EF"/>
    <w:rsid w:val="005E7B10"/>
    <w:rsid w:val="005F2252"/>
    <w:rsid w:val="005F2ED8"/>
    <w:rsid w:val="005F3BF2"/>
    <w:rsid w:val="006175E3"/>
    <w:rsid w:val="00620BB7"/>
    <w:rsid w:val="006274D6"/>
    <w:rsid w:val="006278D6"/>
    <w:rsid w:val="006529F1"/>
    <w:rsid w:val="006749CE"/>
    <w:rsid w:val="0069220B"/>
    <w:rsid w:val="006B1C24"/>
    <w:rsid w:val="006B5CFE"/>
    <w:rsid w:val="006E6B70"/>
    <w:rsid w:val="006E7574"/>
    <w:rsid w:val="006F0508"/>
    <w:rsid w:val="00702648"/>
    <w:rsid w:val="00706939"/>
    <w:rsid w:val="00732E9E"/>
    <w:rsid w:val="007541F0"/>
    <w:rsid w:val="0076513C"/>
    <w:rsid w:val="00770D30"/>
    <w:rsid w:val="0077341D"/>
    <w:rsid w:val="007744C6"/>
    <w:rsid w:val="00783563"/>
    <w:rsid w:val="0079019D"/>
    <w:rsid w:val="007A2B33"/>
    <w:rsid w:val="007A7288"/>
    <w:rsid w:val="007C61CD"/>
    <w:rsid w:val="007D58FE"/>
    <w:rsid w:val="007E41D0"/>
    <w:rsid w:val="007F3424"/>
    <w:rsid w:val="007F3B69"/>
    <w:rsid w:val="00811504"/>
    <w:rsid w:val="00847A19"/>
    <w:rsid w:val="00852F4F"/>
    <w:rsid w:val="0086575F"/>
    <w:rsid w:val="008A6A2A"/>
    <w:rsid w:val="008E34ED"/>
    <w:rsid w:val="009011AF"/>
    <w:rsid w:val="00903B53"/>
    <w:rsid w:val="00933696"/>
    <w:rsid w:val="00946718"/>
    <w:rsid w:val="009523EB"/>
    <w:rsid w:val="00953F03"/>
    <w:rsid w:val="00975C1D"/>
    <w:rsid w:val="00987447"/>
    <w:rsid w:val="00987D4A"/>
    <w:rsid w:val="009964C2"/>
    <w:rsid w:val="009A56E2"/>
    <w:rsid w:val="009E4F29"/>
    <w:rsid w:val="009F254B"/>
    <w:rsid w:val="009F4838"/>
    <w:rsid w:val="00A0223A"/>
    <w:rsid w:val="00A03648"/>
    <w:rsid w:val="00A2104A"/>
    <w:rsid w:val="00A23734"/>
    <w:rsid w:val="00A375D3"/>
    <w:rsid w:val="00A43E32"/>
    <w:rsid w:val="00A44A98"/>
    <w:rsid w:val="00A46233"/>
    <w:rsid w:val="00A7490B"/>
    <w:rsid w:val="00A83551"/>
    <w:rsid w:val="00A84071"/>
    <w:rsid w:val="00A858CF"/>
    <w:rsid w:val="00A95C8E"/>
    <w:rsid w:val="00AB6F8A"/>
    <w:rsid w:val="00AE1B67"/>
    <w:rsid w:val="00AE5277"/>
    <w:rsid w:val="00AF014D"/>
    <w:rsid w:val="00AF1FA9"/>
    <w:rsid w:val="00B0495A"/>
    <w:rsid w:val="00B0798F"/>
    <w:rsid w:val="00B33AB9"/>
    <w:rsid w:val="00B34E5B"/>
    <w:rsid w:val="00B43C69"/>
    <w:rsid w:val="00B4557E"/>
    <w:rsid w:val="00B7655D"/>
    <w:rsid w:val="00B8599C"/>
    <w:rsid w:val="00B9629B"/>
    <w:rsid w:val="00BA3484"/>
    <w:rsid w:val="00BC5BEC"/>
    <w:rsid w:val="00BE7F6A"/>
    <w:rsid w:val="00BF0C88"/>
    <w:rsid w:val="00BF2885"/>
    <w:rsid w:val="00BF6BB4"/>
    <w:rsid w:val="00C0008B"/>
    <w:rsid w:val="00C1752F"/>
    <w:rsid w:val="00C2051C"/>
    <w:rsid w:val="00C27E7B"/>
    <w:rsid w:val="00C27FC2"/>
    <w:rsid w:val="00C43F4F"/>
    <w:rsid w:val="00C52E91"/>
    <w:rsid w:val="00C53692"/>
    <w:rsid w:val="00C81922"/>
    <w:rsid w:val="00C830C1"/>
    <w:rsid w:val="00C97365"/>
    <w:rsid w:val="00C97397"/>
    <w:rsid w:val="00CA44AA"/>
    <w:rsid w:val="00CB180D"/>
    <w:rsid w:val="00CE0496"/>
    <w:rsid w:val="00CE4715"/>
    <w:rsid w:val="00D046A7"/>
    <w:rsid w:val="00D053B3"/>
    <w:rsid w:val="00D1458B"/>
    <w:rsid w:val="00D22257"/>
    <w:rsid w:val="00D245AA"/>
    <w:rsid w:val="00D42BB8"/>
    <w:rsid w:val="00D53ADB"/>
    <w:rsid w:val="00D56221"/>
    <w:rsid w:val="00D74BAB"/>
    <w:rsid w:val="00D75C6A"/>
    <w:rsid w:val="00D76F40"/>
    <w:rsid w:val="00D77DE9"/>
    <w:rsid w:val="00D8728B"/>
    <w:rsid w:val="00D87DB8"/>
    <w:rsid w:val="00DB1419"/>
    <w:rsid w:val="00DB1519"/>
    <w:rsid w:val="00DC2161"/>
    <w:rsid w:val="00DC52F5"/>
    <w:rsid w:val="00DE32DB"/>
    <w:rsid w:val="00DF4048"/>
    <w:rsid w:val="00E04D52"/>
    <w:rsid w:val="00E8194F"/>
    <w:rsid w:val="00EA5FF1"/>
    <w:rsid w:val="00EA713D"/>
    <w:rsid w:val="00EB5E13"/>
    <w:rsid w:val="00EB73C2"/>
    <w:rsid w:val="00EC6ECD"/>
    <w:rsid w:val="00EC6EE6"/>
    <w:rsid w:val="00ED1060"/>
    <w:rsid w:val="00EE4275"/>
    <w:rsid w:val="00EF2756"/>
    <w:rsid w:val="00EF3ADD"/>
    <w:rsid w:val="00F11A04"/>
    <w:rsid w:val="00F24AFC"/>
    <w:rsid w:val="00F24C60"/>
    <w:rsid w:val="00F25DE6"/>
    <w:rsid w:val="00F279AF"/>
    <w:rsid w:val="00F40CFA"/>
    <w:rsid w:val="00F55F01"/>
    <w:rsid w:val="00F62206"/>
    <w:rsid w:val="00F63E0B"/>
    <w:rsid w:val="00FA5381"/>
    <w:rsid w:val="00FE6B42"/>
    <w:rsid w:val="00FF5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qFormat="1" w:uiPriority="99" w:name="Normal Table"/>
    <w:lsdException w:qFormat="1" w:unhideWhenUsed="0" w:uiPriority="99" w:name="Placeholder Text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semiHidden/>
    <w:qFormat/>
    <w:uiPriority w:val="99"/>
    <w:rPr>
      <w:color w:val="808080"/>
    </w:rPr>
  </w:style>
  <w:style w:type="paragraph" w:customStyle="1" w:styleId="5">
    <w:name w:val="855090C1E26F44B89DF0A3EE219EB60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paragraph" w:customStyle="1" w:styleId="6">
    <w:name w:val="E404D537BA94416280DF42C4F4BE66E1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paragraph" w:customStyle="1" w:styleId="7">
    <w:name w:val="6A4EF4511F6C4696AF82E34DCC0E5E9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</w:styl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verPageProperties xmlns="http://schemas.microsoft.com/office/2006/coverPageProps">
  <PublishDate/>
  <Abstract>версия 4.01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206A08C-F888-4814-822D-FD0A498D2965}">
  <ds:schemaRefs/>
</ds:datastoreItem>
</file>

<file path=customXml/itemProps3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197</Pages>
  <Words>4053</Words>
  <Characters>28248</Characters>
  <Lines>1783</Lines>
  <Paragraphs>502</Paragraphs>
  <TotalTime>440</TotalTime>
  <ScaleCrop>false</ScaleCrop>
  <LinksUpToDate>false</LinksUpToDate>
  <CharactersWithSpaces>31714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2026-03-26T15:19:00Z</dcterms:created>
  <dc:creator>Анжелика Лавренюк</dc:creator>
  <dc:description>1027700198767.425000.ФПУМП.2026.И3-2-М</dc:description>
  <cp:lastModifiedBy>Леонид Селиверс�</cp:lastModifiedBy>
  <cp:lastPrinted>2025-11-25T14:57:00Z</cp:lastPrinted>
  <dcterms:modified xsi:type="dcterms:W3CDTF">2026-04-01T11:00:40Z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eyJoZGlkIjoiNTQwMGZkOTczZjRmMzMyMjNiZTQxNjFlMzM5ZDQxMWYiLCJ1c2VySWQiOiIzNzI4NTc2OTM3NzMzIn0=</vt:lpwstr>
  </property>
  <property fmtid="{D5CDD505-2E9C-101B-9397-08002B2CF9AE}" pid="3" name="KSOProductBuildVer">
    <vt:lpwstr>1049-12.1.0.25242</vt:lpwstr>
  </property>
  <property fmtid="{D5CDD505-2E9C-101B-9397-08002B2CF9AE}" pid="4" name="ICV">
    <vt:lpwstr>59FA2FDB4C4044FD818147A5011DABE7_12</vt:lpwstr>
  </property>
</Properties>
</file>